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2ED202E">
      <w:pPr>
        <w:keepNext w:val="0"/>
        <w:keepLines w:val="0"/>
        <w:pageBreakBefore w:val="0"/>
        <w:widowControl w:val="0"/>
        <w:kinsoku/>
        <w:wordWrap/>
        <w:overflowPunct/>
        <w:topLinePunct w:val="0"/>
        <w:autoSpaceDE/>
        <w:autoSpaceDN/>
        <w:bidi w:val="0"/>
        <w:adjustRightInd/>
        <w:snapToGrid/>
        <w:spacing w:line="620" w:lineRule="exact"/>
        <w:ind w:left="0" w:leftChars="0" w:right="0" w:rightChars="0" w:firstLine="0" w:firstLineChars="0"/>
        <w:jc w:val="left"/>
        <w:textAlignment w:val="auto"/>
        <w:outlineLvl w:val="9"/>
        <w:rPr>
          <w:rFonts w:hint="eastAsia" w:ascii="方正小标宋简体" w:hAnsi="方正小标宋简体" w:eastAsia="方正小标宋简体" w:cs="方正小标宋简体"/>
          <w:sz w:val="32"/>
          <w:szCs w:val="32"/>
          <w:lang w:val="en-US" w:eastAsia="zh-CN"/>
        </w:rPr>
      </w:pPr>
      <w:r>
        <w:rPr>
          <w:rFonts w:hint="eastAsia" w:ascii="方正小标宋简体" w:hAnsi="方正小标宋简体" w:eastAsia="方正小标宋简体" w:cs="方正小标宋简体"/>
          <w:sz w:val="32"/>
          <w:szCs w:val="32"/>
          <w:lang w:val="en-US" w:eastAsia="zh-CN"/>
        </w:rPr>
        <w:t>附件1</w:t>
      </w:r>
    </w:p>
    <w:p w14:paraId="73E2CF21">
      <w:pPr>
        <w:rPr>
          <w:rFonts w:hint="eastAsia"/>
          <w:lang w:val="en-US" w:eastAsia="zh-CN"/>
        </w:rPr>
      </w:pPr>
    </w:p>
    <w:p w14:paraId="11E10E50">
      <w:pPr>
        <w:keepNext w:val="0"/>
        <w:keepLines w:val="0"/>
        <w:pageBreakBefore w:val="0"/>
        <w:widowControl w:val="0"/>
        <w:kinsoku/>
        <w:wordWrap/>
        <w:overflowPunct/>
        <w:topLinePunct w:val="0"/>
        <w:autoSpaceDE/>
        <w:autoSpaceDN/>
        <w:bidi w:val="0"/>
        <w:adjustRightInd/>
        <w:snapToGrid/>
        <w:spacing w:line="620" w:lineRule="exact"/>
        <w:ind w:left="0" w:leftChars="0" w:right="0" w:rightChars="0" w:firstLine="0" w:firstLineChars="0"/>
        <w:jc w:val="center"/>
        <w:textAlignment w:val="auto"/>
        <w:outlineLvl w:val="9"/>
        <w:rPr>
          <w:rFonts w:hint="eastAsia" w:ascii="方正小标宋简体" w:hAnsi="方正小标宋简体" w:eastAsia="方正小标宋简体" w:cs="方正小标宋简体"/>
          <w:sz w:val="36"/>
          <w:szCs w:val="36"/>
          <w:lang w:val="en-US" w:eastAsia="zh-CN"/>
        </w:rPr>
      </w:pPr>
      <w:r>
        <w:rPr>
          <w:rFonts w:hint="eastAsia" w:ascii="方正小标宋简体" w:hAnsi="方正小标宋简体" w:eastAsia="方正小标宋简体" w:cs="方正小标宋简体"/>
          <w:sz w:val="36"/>
          <w:szCs w:val="36"/>
          <w:lang w:val="en-US" w:eastAsia="zh-CN"/>
        </w:rPr>
        <w:t>2026年度山东省人民政府决策咨询</w:t>
      </w:r>
    </w:p>
    <w:p w14:paraId="6224BE5E">
      <w:pPr>
        <w:keepNext w:val="0"/>
        <w:keepLines w:val="0"/>
        <w:pageBreakBefore w:val="0"/>
        <w:widowControl w:val="0"/>
        <w:kinsoku/>
        <w:wordWrap/>
        <w:overflowPunct/>
        <w:topLinePunct w:val="0"/>
        <w:autoSpaceDE/>
        <w:autoSpaceDN/>
        <w:bidi w:val="0"/>
        <w:adjustRightInd/>
        <w:snapToGrid/>
        <w:spacing w:line="620" w:lineRule="exact"/>
        <w:ind w:left="0" w:leftChars="0" w:right="0" w:rightChars="0" w:firstLine="0" w:firstLineChars="0"/>
        <w:jc w:val="center"/>
        <w:textAlignment w:val="auto"/>
        <w:outlineLvl w:val="9"/>
        <w:rPr>
          <w:rFonts w:hint="eastAsia" w:ascii="方正小标宋简体" w:hAnsi="方正小标宋简体" w:eastAsia="方正小标宋简体" w:cs="方正小标宋简体"/>
          <w:sz w:val="36"/>
          <w:szCs w:val="36"/>
          <w:lang w:val="en-US" w:eastAsia="zh-CN"/>
        </w:rPr>
      </w:pPr>
      <w:r>
        <w:rPr>
          <w:rFonts w:hint="eastAsia" w:ascii="方正小标宋简体" w:hAnsi="方正小标宋简体" w:eastAsia="方正小标宋简体" w:cs="方正小标宋简体"/>
          <w:sz w:val="36"/>
          <w:szCs w:val="36"/>
          <w:lang w:val="en-US" w:eastAsia="zh-CN"/>
        </w:rPr>
        <w:t>研究重点课题招标目录</w:t>
      </w:r>
    </w:p>
    <w:p w14:paraId="6F8712F8">
      <w:pPr>
        <w:pStyle w:val="6"/>
        <w:keepNext w:val="0"/>
        <w:keepLines w:val="0"/>
        <w:pageBreakBefore w:val="0"/>
        <w:widowControl/>
        <w:numPr>
          <w:ilvl w:val="0"/>
          <w:numId w:val="0"/>
        </w:numPr>
        <w:suppressLineNumbers w:val="0"/>
        <w:shd w:val="clear" w:color="auto" w:fill="FFFFFF"/>
        <w:kinsoku/>
        <w:wordWrap/>
        <w:overflowPunct/>
        <w:topLinePunct w:val="0"/>
        <w:autoSpaceDE/>
        <w:autoSpaceDN/>
        <w:bidi w:val="0"/>
        <w:adjustRightInd/>
        <w:snapToGrid/>
        <w:spacing w:beforeAutospacing="0" w:after="0" w:afterAutospacing="0" w:line="620" w:lineRule="exact"/>
        <w:ind w:right="0" w:rightChars="0"/>
        <w:jc w:val="both"/>
        <w:textAlignment w:val="auto"/>
        <w:rPr>
          <w:rFonts w:hint="eastAsia" w:ascii="仿宋_GB2312" w:hAnsi="仿宋_GB2312" w:eastAsia="仿宋_GB2312" w:cs="仿宋_GB2312"/>
          <w:kern w:val="2"/>
          <w:sz w:val="32"/>
          <w:szCs w:val="32"/>
          <w:lang w:val="en-US" w:eastAsia="zh-CN" w:bidi="ar-SA"/>
        </w:rPr>
      </w:pPr>
    </w:p>
    <w:p w14:paraId="3381B171">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（一）分类有序、片区化推进乡村振兴提档升级研究</w:t>
      </w:r>
    </w:p>
    <w:p w14:paraId="1155E33E">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sz w:val="32"/>
          <w:szCs w:val="32"/>
          <w:highlight w:val="none"/>
          <w:lang w:val="en-US" w:eastAsia="zh-CN"/>
        </w:rPr>
        <w:t>党的二十届四中全会提出分类有序、片区化推进乡村振兴。当前，山东省片区建设正从“点上示范”向“面上提升”、从“典型引领”向“整体振兴”跨越。本课题旨在学习借鉴“千万工程”经验，系统总结现有模式的成效与经验，科学研判面临的深层制约，围绕“分类有序”与“片区化</w:t>
      </w:r>
      <w:bookmarkStart w:id="0" w:name="_GoBack"/>
      <w:bookmarkEnd w:id="0"/>
      <w:r>
        <w:rPr>
          <w:rFonts w:hint="default" w:ascii="Times New Roman" w:hAnsi="Times New Roman" w:eastAsia="仿宋_GB2312" w:cs="Times New Roman"/>
          <w:sz w:val="32"/>
          <w:szCs w:val="32"/>
          <w:highlight w:val="none"/>
          <w:lang w:val="en-US" w:eastAsia="zh-CN"/>
        </w:rPr>
        <w:t>推进”开展深入研究，为推动乡村振兴齐鲁样板提档升级提供决策支撑。</w:t>
      </w:r>
    </w:p>
    <w:p w14:paraId="12C2D17E">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黑体" w:cs="Times New Roman"/>
          <w:sz w:val="32"/>
          <w:szCs w:val="32"/>
          <w:lang w:val="en-US" w:eastAsia="zh-CN"/>
        </w:rPr>
      </w:pPr>
      <w:r>
        <w:rPr>
          <w:rFonts w:hint="default" w:ascii="Times New Roman" w:hAnsi="Times New Roman" w:eastAsia="黑体" w:cs="Times New Roman"/>
          <w:sz w:val="32"/>
          <w:szCs w:val="32"/>
          <w:lang w:val="en-US" w:eastAsia="zh-CN"/>
        </w:rPr>
        <w:t>（二）深化与重点地区战略合作、增强山东省内区域发展协调性研究</w:t>
      </w:r>
    </w:p>
    <w:p w14:paraId="40AF2AB7">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党的二十届四中全会提出，增强区域发展协调性，促进区域联动发展。《中共山东省委关于制定山东省国民经济和社会发展第十五个五年规划的建议》提出“深化与重点地区战略合作”“增强省内区域发展协调性”。本课题旨在分析山东省与重点地区战略合作情况以及省内区域协调发展现状，深入剖析山东省推动区域协调发展面临的困难和问题，研究提出深化与重点地区战略合作、增强山东省内区域发展协调性的推进路径、政策措施等。</w:t>
      </w:r>
    </w:p>
    <w:p w14:paraId="7D2AF47F">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黑体" w:cs="Times New Roman"/>
          <w:sz w:val="32"/>
          <w:szCs w:val="32"/>
          <w:lang w:val="en-US" w:eastAsia="zh-CN"/>
        </w:rPr>
      </w:pPr>
      <w:r>
        <w:rPr>
          <w:rFonts w:hint="default" w:ascii="Times New Roman" w:hAnsi="Times New Roman" w:eastAsia="黑体" w:cs="Times New Roman"/>
          <w:sz w:val="32"/>
          <w:szCs w:val="32"/>
          <w:lang w:val="en-US" w:eastAsia="zh-CN"/>
        </w:rPr>
        <w:t>（三）深化山东自贸试验区与海南自贸港联动创新研究</w:t>
      </w:r>
    </w:p>
    <w:p w14:paraId="02068454">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lang w:val="en-US" w:eastAsia="zh-CN"/>
        </w:rPr>
        <w:t>“十五五”时期是我国推进高水平对外开放的关键阶段。《中共中央关于制定国民经济和社会发展第十五个五年规划的建议》指出，实施自由贸易试验区提升战略，高标准建设海南自由贸易港。</w:t>
      </w:r>
      <w:r>
        <w:rPr>
          <w:rFonts w:hint="default" w:ascii="Times New Roman" w:hAnsi="Times New Roman" w:eastAsia="仿宋_GB2312" w:cs="Times New Roman"/>
          <w:sz w:val="32"/>
          <w:szCs w:val="32"/>
          <w:lang w:eastAsia="zh-CN"/>
        </w:rPr>
        <w:t>深化山东自贸试验区与海南自贸港联动创新，是山东开放效能加速释放、对外开放纵深突破的重要方向与创新实践。本课题立足山东自贸试验区发展现状，以“联动创新”为核心导向，充分借鉴国内外相关经验与典型做法，从体制机制、政策协同、产业对接、口岸合作、风险防控等方面，提出推动两地联动创新的系统性政策建议。</w:t>
      </w:r>
    </w:p>
    <w:p w14:paraId="15E33E3D">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黑体" w:cs="Times New Roman"/>
          <w:sz w:val="32"/>
          <w:szCs w:val="32"/>
          <w:lang w:val="en-US" w:eastAsia="zh-CN"/>
        </w:rPr>
      </w:pPr>
      <w:r>
        <w:rPr>
          <w:rFonts w:hint="default" w:ascii="Times New Roman" w:hAnsi="Times New Roman" w:eastAsia="黑体" w:cs="Times New Roman"/>
          <w:sz w:val="32"/>
          <w:szCs w:val="32"/>
          <w:lang w:val="en-US" w:eastAsia="zh-CN"/>
        </w:rPr>
        <w:t>（四）山东加快构建国际物流大通道、促进国内国际双循环研究</w:t>
      </w:r>
    </w:p>
    <w:p w14:paraId="723BD1E0">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中共中央关于制定国民经济和社会发展第十五个五年规划的建议》强调，健全多元化、韧性强的国际运输通道体系。国际物流大通道不仅是畅通国内国际双循环的“大动脉”，更是撬动国际贸易增量、重塑国际合作竞争新优势的重要抓手。山东贯通南北、链接东西、沿黄沿海，是面向东北亚开放的桥头堡，也是“一带一路”的重要交汇点。本课题聚焦“构建国际物流大通道、促进国内国际双循环”，剖析制约国际大通道建设面临的关键挑战，提出构建高效、安全、韧性的国际物流大通道对策建议，旨在推动山东国际物流大通道建设由“起势”向“成势”转变，全面夯实内外联通的承载能力。</w:t>
      </w:r>
    </w:p>
    <w:p w14:paraId="360EF1F5">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黑体" w:cs="Times New Roman"/>
          <w:sz w:val="32"/>
          <w:szCs w:val="32"/>
          <w:lang w:val="en-US" w:eastAsia="zh-CN"/>
        </w:rPr>
      </w:pPr>
      <w:r>
        <w:rPr>
          <w:rFonts w:hint="default" w:ascii="Times New Roman" w:hAnsi="Times New Roman" w:eastAsia="黑体" w:cs="Times New Roman"/>
          <w:sz w:val="32"/>
          <w:szCs w:val="32"/>
          <w:lang w:val="en-US" w:eastAsia="zh-CN"/>
        </w:rPr>
        <w:t>（五）山东推动“高新企业规模化、规上企业高新化”研究</w:t>
      </w:r>
    </w:p>
    <w:p w14:paraId="6D612396">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2026年山东</w:t>
      </w:r>
      <w:r>
        <w:rPr>
          <w:rFonts w:hint="default" w:ascii="Times New Roman" w:hAnsi="Times New Roman" w:eastAsia="仿宋_GB2312" w:cs="Times New Roman"/>
          <w:sz w:val="32"/>
          <w:szCs w:val="32"/>
        </w:rPr>
        <w:t>省政府工作报告提出，加快</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高新企业规模化、规上企业高新化</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rPr>
        <w:t>，力争规上高新技术企业达到1.8万家。在山东经济转型升级的关键时期，高新企业作为创新驱动的重要力量，亟需通过规模化发展提升产业竞争力，规上企业则需通过高新化转型增强技术含量。本课题旨在通过</w:t>
      </w:r>
      <w:r>
        <w:rPr>
          <w:rFonts w:hint="default" w:ascii="Times New Roman" w:hAnsi="Times New Roman" w:eastAsia="仿宋_GB2312" w:cs="Times New Roman"/>
          <w:sz w:val="32"/>
          <w:szCs w:val="32"/>
          <w:lang w:val="en-US" w:eastAsia="zh-CN"/>
        </w:rPr>
        <w:t>分析</w:t>
      </w:r>
      <w:r>
        <w:rPr>
          <w:rFonts w:hint="default" w:ascii="Times New Roman" w:hAnsi="Times New Roman" w:eastAsia="仿宋_GB2312" w:cs="Times New Roman"/>
          <w:sz w:val="32"/>
          <w:szCs w:val="32"/>
        </w:rPr>
        <w:t>山东省高新企业与规上企业发展现状，对比借鉴先进地区经验，进一步探究企业规模化与高新化的互动机制，深入剖析面临的问题与瓶颈，研究促进高新企业快速成长和规上企业技术升级的实施路径和政策建议</w:t>
      </w:r>
      <w:r>
        <w:rPr>
          <w:rFonts w:hint="default" w:ascii="Times New Roman" w:hAnsi="Times New Roman" w:eastAsia="仿宋_GB2312" w:cs="Times New Roman"/>
          <w:sz w:val="32"/>
          <w:szCs w:val="32"/>
          <w:lang w:eastAsia="zh-CN"/>
        </w:rPr>
        <w:t>。</w:t>
      </w:r>
    </w:p>
    <w:p w14:paraId="62B0D5B7">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黑体" w:cs="Times New Roman"/>
          <w:sz w:val="32"/>
          <w:szCs w:val="32"/>
          <w:lang w:val="en-US" w:eastAsia="zh-CN"/>
        </w:rPr>
      </w:pPr>
      <w:r>
        <w:rPr>
          <w:rFonts w:hint="default" w:ascii="Times New Roman" w:hAnsi="Times New Roman" w:eastAsia="黑体" w:cs="Times New Roman"/>
          <w:sz w:val="32"/>
          <w:szCs w:val="32"/>
          <w:lang w:val="en-US" w:eastAsia="zh-CN"/>
        </w:rPr>
        <w:t>（六）山东消费升级牵引投资方向优化的路径对策研究</w:t>
      </w:r>
    </w:p>
    <w:p w14:paraId="77C581FE">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中共山东省委关于制定山东省国民经济和社会发展第十五个五年规划的建议》提出，深入实施内需扩容增效工程，聚焦投资消费结合点，以有效投资带动消费能力提升，以消费升级牵引投资方向优化，形成消费和投资相互促进的良性循环，巩固现代化强省建设战略基点。山东作为经济大省，以消费升级牵引投资方向优化是促进投资效益持续提升和投资规模合理增长的重要途径。本课题旨在立足山东省经济社会发展实际，深入研究分析消费升级牵引投资方向优化过程中亟须破解的难点、堵点、卡点等问题制约，并提出具体推进路径和对策建议。</w:t>
      </w:r>
    </w:p>
    <w:p w14:paraId="0C15F609">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黑体" w:cs="Times New Roman"/>
          <w:sz w:val="32"/>
          <w:szCs w:val="32"/>
          <w:lang w:val="en-US" w:eastAsia="zh-CN"/>
        </w:rPr>
      </w:pPr>
      <w:r>
        <w:rPr>
          <w:rFonts w:hint="default" w:ascii="Times New Roman" w:hAnsi="Times New Roman" w:eastAsia="黑体" w:cs="Times New Roman"/>
          <w:sz w:val="32"/>
          <w:szCs w:val="32"/>
          <w:lang w:val="en-US" w:eastAsia="zh-CN"/>
        </w:rPr>
        <w:t>（七）健全山东海外综合服务体系研究</w:t>
      </w:r>
    </w:p>
    <w:p w14:paraId="2F936547">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eastAsia="zh-CN"/>
        </w:rPr>
        <w:t>党的二十届四中全会提出“健全海外综合服务体系”。商务部等5部门同步出台《关于进一步完善海外综合服务体系的指导意见》。山东省作为开放型经济大省，率先探索“山海经”综合服务港、淄博涉外平台等创新载体，但面对全球产业链重构与合规风险叠加的挑战，亟需构建覆盖企业出海全周期、全要素的支撑体系。</w:t>
      </w:r>
      <w:r>
        <w:rPr>
          <w:rFonts w:hint="default" w:ascii="Times New Roman" w:hAnsi="Times New Roman" w:eastAsia="仿宋_GB2312" w:cs="Times New Roman"/>
          <w:sz w:val="32"/>
          <w:szCs w:val="32"/>
          <w:lang w:val="en-US" w:eastAsia="zh-CN"/>
        </w:rPr>
        <w:t>本课题旨在分析山东省海外综合服务体系建设现状，研究健全海外综合服务体系面临的难点制约，提出健全海外综合服务体系的路径对策</w:t>
      </w:r>
      <w:r>
        <w:rPr>
          <w:rFonts w:hint="default" w:ascii="Times New Roman" w:hAnsi="Times New Roman" w:eastAsia="仿宋_GB2312" w:cs="Times New Roman"/>
          <w:sz w:val="32"/>
          <w:szCs w:val="32"/>
          <w:lang w:eastAsia="zh-CN"/>
        </w:rPr>
        <w:t>。</w:t>
      </w:r>
    </w:p>
    <w:p w14:paraId="615B2C7E">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黑体" w:cs="Times New Roman"/>
          <w:sz w:val="32"/>
          <w:szCs w:val="32"/>
          <w:lang w:val="en-US" w:eastAsia="zh-CN"/>
        </w:rPr>
      </w:pPr>
      <w:r>
        <w:rPr>
          <w:rFonts w:hint="default" w:ascii="Times New Roman" w:hAnsi="Times New Roman" w:eastAsia="黑体" w:cs="Times New Roman"/>
          <w:sz w:val="32"/>
          <w:szCs w:val="32"/>
          <w:lang w:val="en-US" w:eastAsia="zh-CN"/>
        </w:rPr>
        <w:t>（八）山东加强前沿技术战略预判、布局未来产业新赛道研究</w:t>
      </w:r>
    </w:p>
    <w:p w14:paraId="3508846B">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color w:val="000000"/>
          <w:kern w:val="0"/>
          <w:sz w:val="32"/>
          <w:szCs w:val="32"/>
        </w:rPr>
        <w:t>党的二十届四中全会明确要求，前瞻布局未来产业，开辟产业新赛道，增强发展新动能。习近平总书记强调，要提升前沿技术战略预判能力，以全局和长远眼光把握技术趋势，推动我国向“趋势引领者”转变。</w:t>
      </w:r>
      <w:r>
        <w:rPr>
          <w:rFonts w:hint="default" w:ascii="Times New Roman" w:hAnsi="Times New Roman" w:eastAsia="仿宋_GB2312" w:cs="Times New Roman"/>
          <w:color w:val="222222"/>
          <w:kern w:val="0"/>
          <w:sz w:val="32"/>
          <w:szCs w:val="32"/>
          <w:shd w:val="clear" w:color="auto" w:fill="FFFFFF"/>
        </w:rPr>
        <w:t>本课题旨在立足山东</w:t>
      </w:r>
      <w:r>
        <w:rPr>
          <w:rFonts w:hint="default" w:ascii="Times New Roman" w:hAnsi="Times New Roman" w:eastAsia="仿宋_GB2312" w:cs="Times New Roman"/>
          <w:color w:val="222222"/>
          <w:kern w:val="0"/>
          <w:sz w:val="32"/>
          <w:szCs w:val="32"/>
          <w:shd w:val="clear" w:color="auto" w:fill="FFFFFF"/>
          <w:lang w:val="en-US" w:eastAsia="zh-CN"/>
        </w:rPr>
        <w:t>未来</w:t>
      </w:r>
      <w:r>
        <w:rPr>
          <w:rFonts w:hint="default" w:ascii="Times New Roman" w:hAnsi="Times New Roman" w:eastAsia="仿宋_GB2312" w:cs="Times New Roman"/>
          <w:color w:val="222222"/>
          <w:kern w:val="0"/>
          <w:sz w:val="32"/>
          <w:szCs w:val="32"/>
          <w:shd w:val="clear" w:color="auto" w:fill="FFFFFF"/>
        </w:rPr>
        <w:t>产业发展现状，精准研判前沿技术走向，</w:t>
      </w:r>
      <w:r>
        <w:rPr>
          <w:rFonts w:hint="default" w:ascii="Times New Roman" w:hAnsi="Times New Roman" w:eastAsia="仿宋_GB2312" w:cs="Times New Roman"/>
          <w:sz w:val="32"/>
          <w:szCs w:val="32"/>
        </w:rPr>
        <w:t>借鉴国内外经验做法，研究</w:t>
      </w:r>
      <w:r>
        <w:rPr>
          <w:rFonts w:hint="default" w:ascii="Times New Roman" w:hAnsi="Times New Roman" w:eastAsia="仿宋_GB2312" w:cs="Times New Roman"/>
          <w:sz w:val="32"/>
          <w:szCs w:val="32"/>
          <w:lang w:val="en-US" w:eastAsia="zh-CN"/>
        </w:rPr>
        <w:t>山东省</w:t>
      </w:r>
      <w:r>
        <w:rPr>
          <w:rFonts w:hint="default" w:ascii="Times New Roman" w:hAnsi="Times New Roman" w:eastAsia="仿宋_GB2312" w:cs="Times New Roman"/>
          <w:sz w:val="32"/>
          <w:szCs w:val="32"/>
        </w:rPr>
        <w:t>布局未来产业</w:t>
      </w:r>
      <w:r>
        <w:rPr>
          <w:rFonts w:hint="default" w:ascii="Times New Roman" w:hAnsi="Times New Roman" w:eastAsia="仿宋_GB2312" w:cs="Times New Roman"/>
          <w:sz w:val="32"/>
          <w:szCs w:val="32"/>
          <w:lang w:val="en-US" w:eastAsia="zh-CN"/>
        </w:rPr>
        <w:t>新赛道</w:t>
      </w:r>
      <w:r>
        <w:rPr>
          <w:rFonts w:hint="default" w:ascii="Times New Roman" w:hAnsi="Times New Roman" w:eastAsia="仿宋_GB2312" w:cs="Times New Roman"/>
          <w:sz w:val="32"/>
          <w:szCs w:val="32"/>
        </w:rPr>
        <w:t>的推进路径和重点任务，并提出针对性的</w:t>
      </w:r>
      <w:r>
        <w:rPr>
          <w:rFonts w:hint="default" w:ascii="Times New Roman" w:hAnsi="Times New Roman" w:eastAsia="仿宋_GB2312" w:cs="Times New Roman"/>
          <w:sz w:val="32"/>
          <w:szCs w:val="32"/>
          <w:lang w:val="en-US" w:eastAsia="zh-CN"/>
        </w:rPr>
        <w:t>政策</w:t>
      </w:r>
      <w:r>
        <w:rPr>
          <w:rFonts w:hint="default" w:ascii="Times New Roman" w:hAnsi="Times New Roman" w:eastAsia="仿宋_GB2312" w:cs="Times New Roman"/>
          <w:sz w:val="32"/>
          <w:szCs w:val="32"/>
        </w:rPr>
        <w:t>建议。</w:t>
      </w:r>
    </w:p>
    <w:p w14:paraId="1149E3D9">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黑体" w:cs="Times New Roman"/>
          <w:sz w:val="32"/>
          <w:szCs w:val="32"/>
          <w:lang w:val="en-US" w:eastAsia="zh-CN"/>
        </w:rPr>
      </w:pPr>
      <w:r>
        <w:rPr>
          <w:rFonts w:hint="default" w:ascii="Times New Roman" w:hAnsi="Times New Roman" w:eastAsia="黑体" w:cs="Times New Roman"/>
          <w:sz w:val="32"/>
          <w:szCs w:val="32"/>
          <w:lang w:val="en-US" w:eastAsia="zh-CN"/>
        </w:rPr>
        <w:t>（九）山东加强贸易投资一体化的路径对策研究</w:t>
      </w:r>
    </w:p>
    <w:p w14:paraId="4E2DFB9C">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2026年山东省政府工作报告指出，加快贸易投资一体化发展。本课题旨在深入查找贸易投资融合联动、双向投资提质增效、制度型开放赋能、平台载体支撑等方面存在的短板弱项，借鉴先进省份经验，研究提出强化贸易投资一体化发展的实施路径、保障机制与政策举措，为打造高水平对外开放新高地提供决策支撑。</w:t>
      </w:r>
    </w:p>
    <w:p w14:paraId="45414ED6">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黑体" w:cs="Times New Roman"/>
          <w:sz w:val="32"/>
          <w:szCs w:val="32"/>
          <w:lang w:val="en-US" w:eastAsia="zh-CN"/>
        </w:rPr>
      </w:pPr>
      <w:r>
        <w:rPr>
          <w:rFonts w:hint="default" w:ascii="Times New Roman" w:hAnsi="Times New Roman" w:eastAsia="黑体" w:cs="Times New Roman"/>
          <w:sz w:val="32"/>
          <w:szCs w:val="32"/>
          <w:lang w:val="en-US" w:eastAsia="zh-CN"/>
        </w:rPr>
        <w:t>（十）山东完善提升县域商业体系、扩大优质商品和服务供给研究</w:t>
      </w:r>
    </w:p>
    <w:p w14:paraId="42976F81">
      <w:pPr>
        <w:keepNext w:val="0"/>
        <w:keepLines w:val="0"/>
        <w:pageBreakBefore w:val="0"/>
        <w:widowControl w:val="0"/>
        <w:suppressLineNumbers w:val="0"/>
        <w:kinsoku/>
        <w:wordWrap/>
        <w:overflowPunct/>
        <w:topLinePunct w:val="0"/>
        <w:autoSpaceDE/>
        <w:autoSpaceDN/>
        <w:bidi w:val="0"/>
        <w:adjustRightInd/>
        <w:snapToGrid/>
        <w:spacing w:line="600" w:lineRule="exact"/>
        <w:ind w:left="0" w:leftChars="0" w:right="0" w:rightChars="0" w:firstLine="672" w:firstLineChars="200"/>
        <w:jc w:val="both"/>
        <w:textAlignment w:val="auto"/>
        <w:rPr>
          <w:rFonts w:hint="default" w:ascii="Times New Roman" w:hAnsi="Times New Roman" w:eastAsia="仿宋_GB2312" w:cs="Times New Roman"/>
          <w:color w:val="auto"/>
          <w:spacing w:val="8"/>
          <w:kern w:val="0"/>
          <w:sz w:val="32"/>
          <w:szCs w:val="32"/>
          <w:lang w:val="en-US" w:eastAsia="zh-CN" w:bidi="ar"/>
        </w:rPr>
      </w:pPr>
      <w:r>
        <w:rPr>
          <w:rFonts w:hint="default" w:ascii="Times New Roman" w:hAnsi="Times New Roman" w:eastAsia="仿宋_GB2312" w:cs="Times New Roman"/>
          <w:color w:val="auto"/>
          <w:spacing w:val="8"/>
          <w:kern w:val="0"/>
          <w:sz w:val="32"/>
          <w:szCs w:val="32"/>
          <w:lang w:val="en-US" w:eastAsia="zh-CN" w:bidi="ar"/>
        </w:rPr>
        <w:t>2026年山东省政府工作报告明确提出，完善提升县域商业体系。近年来，山东省县域商业体系建设取得明显进展，县域商业网络持续完善。本研究旨在立足山东实际，深入分析山东在完善提升县域商业体系扩大优质商品和服务供给方面存在的堵点难点，提出发展思路和推进路径，并有针对性地提出政策建议。</w:t>
      </w:r>
    </w:p>
    <w:p w14:paraId="4B095874">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黑体" w:cs="Times New Roman"/>
          <w:sz w:val="32"/>
          <w:szCs w:val="32"/>
          <w:lang w:val="en-US" w:eastAsia="zh-CN"/>
        </w:rPr>
      </w:pPr>
      <w:r>
        <w:rPr>
          <w:rFonts w:hint="default" w:ascii="Times New Roman" w:hAnsi="Times New Roman" w:eastAsia="黑体" w:cs="Times New Roman"/>
          <w:sz w:val="32"/>
          <w:szCs w:val="32"/>
          <w:lang w:val="en-US" w:eastAsia="zh-CN"/>
        </w:rPr>
        <w:t>（十一）山东促进文化和科技深度融合创新发展研究</w:t>
      </w:r>
    </w:p>
    <w:p w14:paraId="18E400C8">
      <w:pPr>
        <w:keepNext w:val="0"/>
        <w:keepLines w:val="0"/>
        <w:pageBreakBefore w:val="0"/>
        <w:widowControl w:val="0"/>
        <w:suppressLineNumbers w:val="0"/>
        <w:kinsoku/>
        <w:wordWrap/>
        <w:overflowPunct/>
        <w:topLinePunct w:val="0"/>
        <w:autoSpaceDE/>
        <w:autoSpaceDN/>
        <w:bidi w:val="0"/>
        <w:adjustRightInd/>
        <w:snapToGrid/>
        <w:spacing w:line="600" w:lineRule="exact"/>
        <w:ind w:left="0" w:leftChars="0" w:right="0" w:rightChars="0" w:firstLine="640" w:firstLineChars="200"/>
        <w:jc w:val="left"/>
        <w:textAlignment w:val="auto"/>
        <w:outlineLvl w:val="9"/>
        <w:rPr>
          <w:rFonts w:hint="default" w:ascii="Times New Roman" w:hAnsi="Times New Roman" w:eastAsia="仿宋_GB2312" w:cs="Times New Roman"/>
          <w:sz w:val="32"/>
          <w:szCs w:val="32"/>
        </w:rPr>
      </w:pPr>
      <w:r>
        <w:rPr>
          <w:rFonts w:hint="default" w:ascii="Times New Roman" w:hAnsi="Times New Roman" w:eastAsia="仿宋_GB2312" w:cs="Times New Roman"/>
          <w:sz w:val="32"/>
          <w:szCs w:val="32"/>
          <w:lang w:val="en-US" w:eastAsia="zh-CN"/>
        </w:rPr>
        <w:t>《中共中央关于制定国民经济和社会发展第十五个五年规划的建议》</w:t>
      </w:r>
      <w:r>
        <w:rPr>
          <w:rFonts w:hint="default" w:ascii="Times New Roman" w:hAnsi="Times New Roman" w:eastAsia="仿宋_GB2312" w:cs="Times New Roman"/>
          <w:sz w:val="32"/>
          <w:szCs w:val="32"/>
          <w:lang w:eastAsia="zh-CN"/>
        </w:rPr>
        <w:t>提出，</w:t>
      </w:r>
      <w:r>
        <w:rPr>
          <w:rFonts w:hint="default" w:ascii="Times New Roman" w:hAnsi="Times New Roman" w:eastAsia="仿宋_GB2312" w:cs="Times New Roman"/>
          <w:sz w:val="32"/>
          <w:szCs w:val="32"/>
          <w:lang w:val="en-US" w:eastAsia="zh-CN"/>
        </w:rPr>
        <w:t>推进文化和科技融合，推动文化建设数智化赋能、信息化转型，发展新型文化业态。面对业态融合的新趋势、新机遇，文化和科技深度融合方兴未艾、大有可为，能够为山东加快建设文化强省、科技强省注入澎湃动力。本研究旨在充分总结国内外文化和科技深度融合前沿趋势基础上，立足山东省情，深入分析山东在促进文化和科技深度融合创新发展存在的难点和制约，提出山东促进文化和科技深度融合发展的思路和路径，有针对性地提出政策建议。</w:t>
      </w:r>
    </w:p>
    <w:p w14:paraId="5456FCBA">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黑体" w:cs="Times New Roman"/>
          <w:sz w:val="32"/>
          <w:szCs w:val="32"/>
          <w:lang w:val="en-US" w:eastAsia="zh-CN"/>
        </w:rPr>
      </w:pPr>
      <w:r>
        <w:rPr>
          <w:rFonts w:hint="default" w:ascii="Times New Roman" w:hAnsi="Times New Roman" w:eastAsia="黑体" w:cs="Times New Roman"/>
          <w:sz w:val="32"/>
          <w:szCs w:val="32"/>
          <w:lang w:val="en-US" w:eastAsia="zh-CN"/>
        </w:rPr>
        <w:t>（十二）山东培育壮大创业投资机构和科技领军企业研究</w:t>
      </w:r>
    </w:p>
    <w:p w14:paraId="6429D9FD">
      <w:pPr>
        <w:pStyle w:val="2"/>
        <w:keepNext w:val="0"/>
        <w:keepLines w:val="0"/>
        <w:pageBreakBefore w:val="0"/>
        <w:widowControl w:val="0"/>
        <w:kinsoku/>
        <w:wordWrap/>
        <w:overflowPunct/>
        <w:topLinePunct w:val="0"/>
        <w:autoSpaceDE/>
        <w:autoSpaceDN/>
        <w:bidi w:val="0"/>
        <w:adjustRightInd/>
        <w:snapToGrid/>
        <w:spacing w:before="0" w:line="600" w:lineRule="exact"/>
        <w:ind w:firstLine="640" w:firstLineChars="200"/>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sz w:val="32"/>
          <w:szCs w:val="32"/>
          <w:lang w:val="en-US" w:eastAsia="zh-CN"/>
        </w:rPr>
        <w:t>党的二十届四中全会对加快高水平科技自立自强、发展新质生产力作出战略部署，明确要求大力发展科技金融、培育壮大创业投资、支持科技领军企业做强做优。2026年省政府工作报告提出要培育壮大创业投资机构和科技领军企业。本课题旨在学习借鉴先进省份经验，系统研究山东培育壮大创业投资机构和科技领军企业的实施路径，推动创投生态优化升级与科技领军企业梯次培育，形成可复制可推广的制度创新与实践经验，为山东建设高水平科技自立自强先行区、服务国家科技强国战略提供坚实支撑。</w:t>
      </w:r>
    </w:p>
    <w:p w14:paraId="2608D374">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黑体" w:cs="Times New Roman"/>
          <w:sz w:val="32"/>
          <w:szCs w:val="32"/>
          <w:lang w:val="en-US" w:eastAsia="zh-CN"/>
        </w:rPr>
      </w:pPr>
      <w:r>
        <w:rPr>
          <w:rFonts w:hint="default" w:ascii="Times New Roman" w:hAnsi="Times New Roman" w:eastAsia="黑体" w:cs="Times New Roman"/>
          <w:sz w:val="32"/>
          <w:szCs w:val="32"/>
          <w:lang w:val="en-US" w:eastAsia="zh-CN"/>
        </w:rPr>
        <w:t>（十三）山东加快构建现代化农业防灾减灾体系研究</w:t>
      </w:r>
    </w:p>
    <w:p w14:paraId="1392107D">
      <w:pPr>
        <w:keepNext w:val="0"/>
        <w:keepLines w:val="0"/>
        <w:pageBreakBefore w:val="0"/>
        <w:widowControl w:val="0"/>
        <w:kinsoku/>
        <w:wordWrap/>
        <w:overflowPunct/>
        <w:topLinePunct w:val="0"/>
        <w:autoSpaceDE/>
        <w:autoSpaceDN/>
        <w:bidi w:val="0"/>
        <w:adjustRightInd/>
        <w:snapToGrid/>
        <w:spacing w:line="600" w:lineRule="exact"/>
        <w:ind w:firstLine="640" w:firstLineChars="200"/>
        <w:rPr>
          <w:rFonts w:hint="default" w:ascii="Times New Roman" w:hAnsi="Times New Roman" w:eastAsia="仿宋_GB2312" w:cs="Times New Roman"/>
          <w:kern w:val="2"/>
          <w:sz w:val="32"/>
          <w:szCs w:val="32"/>
          <w:lang w:val="en-US" w:eastAsia="zh-CN" w:bidi="ar-SA"/>
        </w:rPr>
      </w:pPr>
      <w:r>
        <w:rPr>
          <w:rFonts w:hint="default" w:ascii="Times New Roman" w:hAnsi="Times New Roman" w:eastAsia="仿宋_GB2312" w:cs="Times New Roman"/>
          <w:kern w:val="2"/>
          <w:sz w:val="32"/>
          <w:szCs w:val="32"/>
          <w:lang w:val="en-US" w:eastAsia="zh-CN" w:bidi="ar-SA"/>
        </w:rPr>
        <w:t>面对日益严峻的全球气候挑战，农业生产的不确定性风险加剧，完善农业防灾减灾体系对于筑牢粮食安全根基具有决定性意义。省委农村工作会议明确要求加强防灾减灾体系建设。本研究拟通过系统诊断山东农业防灾减灾体系的薄弱环节，聚焦极端天气频发背景下农业韧性提升的紧迫需求，推动防灾减灾体系从“被动救灾”向“主动设防”转型，为山东加快构建现代化农业防灾减灾体系提供切实可行的方案。</w:t>
      </w:r>
    </w:p>
    <w:p w14:paraId="41C20750">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黑体" w:cs="Times New Roman"/>
          <w:sz w:val="32"/>
          <w:szCs w:val="32"/>
          <w:lang w:val="en-US" w:eastAsia="zh-CN"/>
        </w:rPr>
      </w:pPr>
      <w:r>
        <w:rPr>
          <w:rFonts w:hint="default" w:ascii="Times New Roman" w:hAnsi="Times New Roman" w:eastAsia="黑体" w:cs="Times New Roman"/>
          <w:sz w:val="32"/>
          <w:szCs w:val="32"/>
          <w:lang w:val="en-US" w:eastAsia="zh-CN"/>
        </w:rPr>
        <w:t>（十四）山东构建大安全、大应急工作格局研究</w:t>
      </w:r>
    </w:p>
    <w:p w14:paraId="1A1B79E3">
      <w:pPr>
        <w:keepNext w:val="0"/>
        <w:keepLines w:val="0"/>
        <w:pageBreakBefore w:val="0"/>
        <w:widowControl w:val="0"/>
        <w:kinsoku/>
        <w:wordWrap/>
        <w:overflowPunct/>
        <w:topLinePunct w:val="0"/>
        <w:autoSpaceDE/>
        <w:autoSpaceDN/>
        <w:bidi w:val="0"/>
        <w:adjustRightInd/>
        <w:snapToGrid/>
        <w:spacing w:line="600" w:lineRule="exact"/>
        <w:ind w:firstLine="640" w:firstLineChars="200"/>
        <w:rPr>
          <w:rFonts w:hint="default" w:ascii="Times New Roman" w:hAnsi="Times New Roman" w:eastAsia="仿宋_GB2312" w:cs="Times New Roman"/>
          <w:sz w:val="32"/>
          <w:szCs w:val="32"/>
          <w:lang w:eastAsia="zh-CN"/>
        </w:rPr>
      </w:pPr>
      <w:r>
        <w:rPr>
          <w:rFonts w:hint="default" w:ascii="Times New Roman" w:hAnsi="Times New Roman" w:eastAsia="仿宋_GB2312" w:cs="Times New Roman"/>
          <w:sz w:val="32"/>
          <w:szCs w:val="32"/>
          <w:lang w:eastAsia="zh-CN"/>
        </w:rPr>
        <w:t>党的二十大报告明确提出“建立大安全大应急框架”，成为新时代应急管理体系建设的核心指导思想。</w:t>
      </w:r>
      <w:r>
        <w:rPr>
          <w:rFonts w:hint="default" w:ascii="Times New Roman" w:hAnsi="Times New Roman" w:eastAsia="仿宋_GB2312" w:cs="Times New Roman"/>
          <w:sz w:val="32"/>
          <w:szCs w:val="32"/>
          <w:lang w:val="en-US" w:eastAsia="zh-CN"/>
        </w:rPr>
        <w:t>当前</w:t>
      </w:r>
      <w:r>
        <w:rPr>
          <w:rFonts w:hint="default" w:ascii="Times New Roman" w:hAnsi="Times New Roman" w:eastAsia="仿宋_GB2312" w:cs="Times New Roman"/>
          <w:sz w:val="32"/>
          <w:szCs w:val="32"/>
          <w:lang w:eastAsia="zh-CN"/>
        </w:rPr>
        <w:t>，</w:t>
      </w:r>
      <w:r>
        <w:rPr>
          <w:rFonts w:hint="default" w:ascii="Times New Roman" w:hAnsi="Times New Roman" w:eastAsia="仿宋_GB2312" w:cs="Times New Roman"/>
          <w:sz w:val="32"/>
          <w:szCs w:val="32"/>
          <w:lang w:val="en-US" w:eastAsia="zh-CN"/>
        </w:rPr>
        <w:t>山东</w:t>
      </w:r>
      <w:r>
        <w:rPr>
          <w:rFonts w:hint="default" w:ascii="Times New Roman" w:hAnsi="Times New Roman" w:eastAsia="仿宋_GB2312" w:cs="Times New Roman"/>
          <w:sz w:val="32"/>
          <w:szCs w:val="32"/>
          <w:lang w:eastAsia="zh-CN"/>
        </w:rPr>
        <w:t>省仍面临严峻复杂的安全应急形势，灾害事故发生的隐蔽性、复杂性、耦合性进一步增加，拉高风险防控和应急处置的复杂性及难度。本课题拟从风险防控、能力提升、科技支撑、协同治理、人才培养、基层夯实、体系建设等方面开展研究，助力</w:t>
      </w:r>
      <w:r>
        <w:rPr>
          <w:rFonts w:hint="default" w:ascii="Times New Roman" w:hAnsi="Times New Roman" w:eastAsia="仿宋_GB2312" w:cs="Times New Roman"/>
          <w:sz w:val="32"/>
          <w:szCs w:val="32"/>
          <w:lang w:val="en-US" w:eastAsia="zh-CN"/>
        </w:rPr>
        <w:t>山东</w:t>
      </w:r>
      <w:r>
        <w:rPr>
          <w:rFonts w:hint="default" w:ascii="Times New Roman" w:hAnsi="Times New Roman" w:eastAsia="仿宋_GB2312" w:cs="Times New Roman"/>
          <w:sz w:val="32"/>
          <w:szCs w:val="32"/>
          <w:lang w:eastAsia="zh-CN"/>
        </w:rPr>
        <w:t>省构建大安全、大应急工作格局。</w:t>
      </w:r>
    </w:p>
    <w:p w14:paraId="5E83E471">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rPr>
          <w:rFonts w:hint="default" w:ascii="Times New Roman" w:hAnsi="Times New Roman" w:eastAsia="黑体" w:cs="Times New Roman"/>
          <w:sz w:val="32"/>
          <w:szCs w:val="32"/>
          <w:lang w:val="en-US" w:eastAsia="zh-CN"/>
        </w:rPr>
      </w:pPr>
      <w:r>
        <w:rPr>
          <w:rFonts w:hint="default" w:ascii="Times New Roman" w:hAnsi="Times New Roman" w:eastAsia="黑体" w:cs="Times New Roman"/>
          <w:sz w:val="32"/>
          <w:szCs w:val="32"/>
          <w:lang w:val="en-US" w:eastAsia="zh-CN"/>
        </w:rPr>
        <w:t>（十五）山东打造北方优秀青年人才集聚区研究</w:t>
      </w:r>
    </w:p>
    <w:p w14:paraId="565C7652">
      <w:pPr>
        <w:keepNext w:val="0"/>
        <w:keepLines w:val="0"/>
        <w:pageBreakBefore w:val="0"/>
        <w:widowControl w:val="0"/>
        <w:kinsoku/>
        <w:wordWrap/>
        <w:overflowPunct/>
        <w:topLinePunct w:val="0"/>
        <w:autoSpaceDE/>
        <w:autoSpaceDN/>
        <w:bidi w:val="0"/>
        <w:adjustRightInd/>
        <w:snapToGrid/>
        <w:spacing w:line="600" w:lineRule="exact"/>
        <w:ind w:firstLine="640" w:firstLineChars="200"/>
        <w:rPr>
          <w:rFonts w:hint="default" w:ascii="Times New Roman" w:hAnsi="Times New Roman" w:eastAsia="仿宋_GB2312" w:cs="Times New Roman"/>
          <w:b w:val="0"/>
          <w:bCs w:val="0"/>
          <w:kern w:val="2"/>
          <w:sz w:val="36"/>
          <w:szCs w:val="36"/>
          <w:highlight w:val="none"/>
          <w:lang w:val="en-US" w:eastAsia="zh-CN" w:bidi="ar-SA"/>
        </w:rPr>
      </w:pPr>
      <w:r>
        <w:rPr>
          <w:rFonts w:hint="default" w:ascii="Times New Roman" w:hAnsi="Times New Roman" w:eastAsia="仿宋_GB2312" w:cs="Times New Roman"/>
          <w:sz w:val="32"/>
          <w:szCs w:val="32"/>
          <w:lang w:val="en-US" w:eastAsia="zh-CN"/>
        </w:rPr>
        <w:t>青年人才是科技创新的主力军，是国家战略人才力量的源头活水。全省人力资源和社会保障工作会议明确提出，打造北方优秀青年人才集聚区。</w:t>
      </w:r>
      <w:r>
        <w:rPr>
          <w:rFonts w:hint="default" w:ascii="Times New Roman" w:hAnsi="Times New Roman" w:eastAsia="仿宋_GB2312" w:cs="Times New Roman"/>
          <w:sz w:val="32"/>
          <w:szCs w:val="32"/>
          <w:lang w:eastAsia="zh-CN"/>
        </w:rPr>
        <w:t>近年来，</w:t>
      </w:r>
      <w:r>
        <w:rPr>
          <w:rFonts w:hint="default" w:ascii="Times New Roman" w:hAnsi="Times New Roman" w:eastAsia="仿宋_GB2312" w:cs="Times New Roman"/>
          <w:sz w:val="32"/>
          <w:szCs w:val="32"/>
          <w:lang w:val="en-US" w:eastAsia="zh-CN"/>
        </w:rPr>
        <w:t>山东省</w:t>
      </w:r>
      <w:r>
        <w:rPr>
          <w:rFonts w:hint="default" w:ascii="Times New Roman" w:hAnsi="Times New Roman" w:eastAsia="仿宋_GB2312" w:cs="Times New Roman"/>
          <w:sz w:val="32"/>
          <w:szCs w:val="32"/>
          <w:lang w:eastAsia="zh-CN"/>
        </w:rPr>
        <w:t>加快建设具有山东特色的新时代人才集聚高地，坚持教育科技人才一体推进，着力塑造一流人才发展格局，“人才山东”影响力、对高质量发展的支撑作用持续增强。</w:t>
      </w:r>
      <w:r>
        <w:rPr>
          <w:rFonts w:hint="default" w:ascii="Times New Roman" w:hAnsi="Times New Roman" w:eastAsia="仿宋_GB2312" w:cs="Times New Roman"/>
          <w:sz w:val="32"/>
          <w:szCs w:val="32"/>
          <w:lang w:val="en-US" w:eastAsia="zh-CN"/>
        </w:rPr>
        <w:t>本课题</w:t>
      </w:r>
      <w:r>
        <w:rPr>
          <w:rFonts w:hint="default" w:ascii="Times New Roman" w:hAnsi="Times New Roman" w:eastAsia="仿宋_GB2312" w:cs="Times New Roman"/>
          <w:sz w:val="32"/>
          <w:szCs w:val="32"/>
          <w:lang w:eastAsia="zh-CN"/>
        </w:rPr>
        <w:t>立足当前人才和科技竞争态势，</w:t>
      </w:r>
      <w:r>
        <w:rPr>
          <w:rFonts w:hint="default" w:ascii="Times New Roman" w:hAnsi="Times New Roman" w:eastAsia="仿宋_GB2312" w:cs="Times New Roman"/>
          <w:sz w:val="32"/>
          <w:szCs w:val="32"/>
          <w:lang w:val="en-US" w:eastAsia="zh-CN"/>
        </w:rPr>
        <w:t>分析打造北方优秀青年人才集聚区的优势短板，明确建设思路和重点任务，提出具体政策建议。</w:t>
      </w: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auto"/>
    <w:pitch w:val="default"/>
    <w:sig w:usb0="E0002EFF" w:usb1="C000785B" w:usb2="00000009"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altName w:val="MathJax_Vector"/>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MathJax_Vector"/>
    <w:panose1 w:val="05050102010706020507"/>
    <w:charset w:val="02"/>
    <w:family w:val="roman"/>
    <w:pitch w:val="default"/>
    <w:sig w:usb0="00000000" w:usb1="00000000" w:usb2="00000000" w:usb3="00000000" w:csb0="80000000" w:csb1="00000000"/>
  </w:font>
  <w:font w:name="Calibri">
    <w:altName w:val="Times New Roman"/>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Calibri Light">
    <w:altName w:val="Times New Roman"/>
    <w:panose1 w:val="020F0302020204030204"/>
    <w:charset w:val="00"/>
    <w:family w:val="auto"/>
    <w:pitch w:val="default"/>
    <w:sig w:usb0="00000000" w:usb1="00000000" w:usb2="00000009" w:usb3="00000000" w:csb0="200001FF" w:csb1="00000000"/>
  </w:font>
  <w:font w:name="方正小标宋简体">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微软雅黑">
    <w:altName w:val="黑体"/>
    <w:panose1 w:val="00000000000000000000"/>
    <w:charset w:val="00"/>
    <w:family w:val="auto"/>
    <w:pitch w:val="default"/>
    <w:sig w:usb0="00000000" w:usb1="00000000" w:usb2="00000000" w:usb3="00000000" w:csb0="00000000" w:csb1="00000000"/>
  </w:font>
  <w:font w:name="Tahoma">
    <w:altName w:val="noto sans thai"/>
    <w:panose1 w:val="00000000000000000000"/>
    <w:charset w:val="00"/>
    <w:family w:val="auto"/>
    <w:pitch w:val="default"/>
    <w:sig w:usb0="00000000" w:usb1="00000000" w:usb2="00000000" w:usb3="00000000" w:csb0="00000000" w:csb1="00000000"/>
  </w:font>
  <w:font w:name="MathJax_Vector">
    <w:panose1 w:val="02000603000000000000"/>
    <w:charset w:val="00"/>
    <w:family w:val="auto"/>
    <w:pitch w:val="default"/>
    <w:sig w:usb0="00000001" w:usb1="00000020" w:usb2="00000000" w:usb3="00000000" w:csb0="00000001" w:csb1="00000000"/>
  </w:font>
  <w:font w:name="DejaVu Sans">
    <w:panose1 w:val="020B0603030804020204"/>
    <w:charset w:val="00"/>
    <w:family w:val="auto"/>
    <w:pitch w:val="default"/>
    <w:sig w:usb0="E7006EFF" w:usb1="D200FDFF" w:usb2="0A246029" w:usb3="0400200C" w:csb0="600001FF" w:csb1="DFFF0000"/>
  </w:font>
  <w:font w:name="noto sans thai">
    <w:panose1 w:val="020B0502040504020204"/>
    <w:charset w:val="00"/>
    <w:family w:val="auto"/>
    <w:pitch w:val="default"/>
    <w:sig w:usb0="81000063" w:usb1="00002000" w:usb2="00000000" w:usb3="00000000" w:csb0="0001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91BADA9">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2557E6E">
                          <w:pPr>
                            <w:snapToGrid w:val="0"/>
                            <w:rPr>
                              <w:rFonts w:hint="eastAsia" w:eastAsiaTheme="minorEastAsia"/>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sz w:val="18"/>
                            </w:rPr>
                            <w:t>1</w:t>
                          </w:r>
                          <w:r>
                            <w:rPr>
                              <w:rFonts w:hint="eastAsia"/>
                              <w:sz w:val="18"/>
                              <w:lang w:eastAsia="zh-CN"/>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52557E6E">
                    <w:pPr>
                      <w:snapToGrid w:val="0"/>
                      <w:rPr>
                        <w:rFonts w:hint="eastAsia" w:eastAsiaTheme="minorEastAsia"/>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rPr>
                        <w:sz w:val="18"/>
                      </w:rPr>
                      <w:t>1</w:t>
                    </w:r>
                    <w:r>
                      <w:rPr>
                        <w:rFonts w:hint="eastAsia"/>
                        <w:sz w:val="18"/>
                        <w:lang w:eastAsia="zh-CN"/>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763D5B9">
    <w:pPr>
      <w:pStyle w:val="5"/>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doNotDisplayPageBoundaries w:val="1"/>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6F43110"/>
    <w:rsid w:val="01396E1E"/>
    <w:rsid w:val="014D2402"/>
    <w:rsid w:val="015666B9"/>
    <w:rsid w:val="041F054D"/>
    <w:rsid w:val="07E61381"/>
    <w:rsid w:val="0BF422BF"/>
    <w:rsid w:val="0FD06741"/>
    <w:rsid w:val="15760654"/>
    <w:rsid w:val="165F5FD9"/>
    <w:rsid w:val="202A0C25"/>
    <w:rsid w:val="2C6D3C9C"/>
    <w:rsid w:val="2DEE2BBA"/>
    <w:rsid w:val="37DE3438"/>
    <w:rsid w:val="4994527F"/>
    <w:rsid w:val="4C7FEBE4"/>
    <w:rsid w:val="521045FE"/>
    <w:rsid w:val="56F43110"/>
    <w:rsid w:val="57F64CB0"/>
    <w:rsid w:val="5B68005D"/>
    <w:rsid w:val="6BF7B25A"/>
    <w:rsid w:val="6ED05C5E"/>
    <w:rsid w:val="73FD1A1B"/>
    <w:rsid w:val="7564688B"/>
    <w:rsid w:val="77AA2051"/>
    <w:rsid w:val="7AEF9992"/>
    <w:rsid w:val="AF4504D3"/>
    <w:rsid w:val="F5A30391"/>
    <w:rsid w:val="F5FF5A5B"/>
    <w:rsid w:val="FD3ABBC3"/>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Ascii" w:hAnsiTheme="minorAscii" w:eastAsiaTheme="minorEastAsia" w:cstheme="minorBidi"/>
      <w:kern w:val="2"/>
      <w:sz w:val="30"/>
      <w:szCs w:val="24"/>
      <w:lang w:val="en-US" w:eastAsia="zh-CN" w:bidi="ar-SA"/>
    </w:rPr>
  </w:style>
  <w:style w:type="character" w:default="1" w:styleId="8">
    <w:name w:val="Default Paragraph Font"/>
    <w:semiHidden/>
    <w:qFormat/>
    <w:uiPriority w:val="0"/>
  </w:style>
  <w:style w:type="table" w:default="1" w:styleId="7">
    <w:name w:val="Normal Table"/>
    <w:semiHidden/>
    <w:qFormat/>
    <w:uiPriority w:val="0"/>
    <w:tblPr>
      <w:tblCellMar>
        <w:top w:w="0" w:type="dxa"/>
        <w:left w:w="108" w:type="dxa"/>
        <w:bottom w:w="0" w:type="dxa"/>
        <w:right w:w="108" w:type="dxa"/>
      </w:tblCellMar>
    </w:tblPr>
  </w:style>
  <w:style w:type="paragraph" w:customStyle="1" w:styleId="2">
    <w:name w:val="TOAHeading"/>
    <w:basedOn w:val="1"/>
    <w:next w:val="1"/>
    <w:qFormat/>
    <w:uiPriority w:val="0"/>
    <w:pPr>
      <w:spacing w:before="120"/>
      <w:textAlignment w:val="baseline"/>
    </w:pPr>
    <w:rPr>
      <w:rFonts w:ascii="Calibri Light" w:hAnsi="Calibri Light" w:eastAsia="宋体"/>
      <w:sz w:val="24"/>
      <w:szCs w:val="24"/>
    </w:rPr>
  </w:style>
  <w:style w:type="paragraph" w:styleId="3">
    <w:name w:val="Plain Text"/>
    <w:basedOn w:val="1"/>
    <w:next w:val="1"/>
    <w:qFormat/>
    <w:uiPriority w:val="0"/>
    <w:rPr>
      <w:rFonts w:ascii="宋体" w:hAnsi="宋体" w:cs="宋体"/>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customStyle="1" w:styleId="9">
    <w:name w:val="标题1"/>
    <w:basedOn w:val="1"/>
    <w:qFormat/>
    <w:uiPriority w:val="0"/>
    <w:rPr>
      <w:rFonts w:asciiTheme="minorAscii" w:hAnsiTheme="minorAscii"/>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3343</Words>
  <Characters>3360</Characters>
  <Lines>0</Lines>
  <Paragraphs>0</Paragraphs>
  <TotalTime>65</TotalTime>
  <ScaleCrop>false</ScaleCrop>
  <LinksUpToDate>false</LinksUpToDate>
  <CharactersWithSpaces>3360</CharactersWithSpaces>
  <Application>WPS Office_12.8.2.20327_F1E327BC-269C-435d-A152-05C5408002CA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2024-05-23T09:25:00Z</dcterms:created>
  <dc:creator>李诗君</dc:creator>
  <cp:lastModifiedBy>user</cp:lastModifiedBy>
  <cp:lastPrinted>2026-02-13T16:10:00Z</cp:lastPrinted>
  <dcterms:modified xsi:type="dcterms:W3CDTF">2026-02-25T16:38:18Z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2052-12.8.2.20327</vt:lpwstr>
  </property>
  <property fmtid="{D5CDD505-2E9C-101B-9397-08002B2CF9AE}" pid="3" name="KSOTemplateDocerSaveRecord">
    <vt:lpwstr>eyJoZGlkIjoiYjhlMGU4OGViY2ViN2ZhNDhlZWU2N2MzN2FhNmRiMzgiLCJ1c2VySWQiOiIxOTkwMTYzMzIifQ==</vt:lpwstr>
  </property>
  <property fmtid="{D5CDD505-2E9C-101B-9397-08002B2CF9AE}" pid="4" name="ICV">
    <vt:lpwstr>6F44743CAC164FA0BA00B9EB309AC2FD_12</vt:lpwstr>
  </property>
</Properties>
</file>