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/>
        <w:rPr>
          <w:sz w:val="20"/>
        </w:rPr>
      </w:pPr>
    </w:p>
    <w:p>
      <w:pPr>
        <w:pStyle w:val="2"/>
        <w:spacing w:before="55" w:line="388" w:lineRule="exact"/>
        <w:rPr>
          <w:rFonts w:hint="eastAsia" w:eastAsia="仿宋"/>
          <w:lang w:val="en-US" w:eastAsia="zh-CN"/>
        </w:rPr>
      </w:pPr>
      <w:r>
        <w:t>附件</w:t>
      </w:r>
      <w:r>
        <w:rPr>
          <w:rFonts w:hint="eastAsia"/>
          <w:lang w:val="en-US" w:eastAsia="zh-CN"/>
        </w:rPr>
        <w:t>1</w:t>
      </w:r>
      <w:bookmarkStart w:id="0" w:name="_GoBack"/>
      <w:bookmarkEnd w:id="0"/>
    </w:p>
    <w:p>
      <w:pPr>
        <w:spacing w:before="0" w:line="641" w:lineRule="exact"/>
        <w:ind w:left="3959" w:right="4121" w:firstLine="0"/>
        <w:jc w:val="center"/>
        <w:rPr>
          <w:rFonts w:hint="eastAsia" w:ascii="微软雅黑" w:eastAsia="微软雅黑"/>
          <w:sz w:val="36"/>
        </w:rPr>
      </w:pPr>
      <w:r>
        <w:rPr>
          <w:rFonts w:hint="eastAsia" w:ascii="微软雅黑" w:eastAsia="微软雅黑"/>
          <w:sz w:val="36"/>
        </w:rPr>
        <w:t>选题方向</w:t>
      </w:r>
    </w:p>
    <w:p>
      <w:pPr>
        <w:pStyle w:val="2"/>
        <w:spacing w:before="1"/>
        <w:ind w:left="0"/>
        <w:rPr>
          <w:rFonts w:ascii="微软雅黑"/>
          <w:sz w:val="28"/>
        </w:rPr>
      </w:pPr>
    </w:p>
    <w:p>
      <w:pPr>
        <w:spacing w:before="54"/>
        <w:ind w:left="108" w:right="0" w:firstLine="0"/>
        <w:jc w:val="left"/>
        <w:rPr>
          <w:b/>
          <w:sz w:val="32"/>
        </w:rPr>
      </w:pPr>
      <w:r>
        <w:rPr>
          <w:b/>
          <w:sz w:val="32"/>
        </w:rPr>
        <w:t>专项项目：</w:t>
      </w:r>
    </w:p>
    <w:p>
      <w:pPr>
        <w:pStyle w:val="2"/>
        <w:spacing w:before="111" w:line="302" w:lineRule="auto"/>
        <w:ind w:right="274"/>
      </w:pPr>
      <w:r>
        <w:t>1、南京各个历史时期革命遗址、革命文物和教育基地保护和利用研究</w:t>
      </w:r>
    </w:p>
    <w:p>
      <w:pPr>
        <w:pStyle w:val="2"/>
        <w:spacing w:before="6"/>
      </w:pPr>
      <w:r>
        <w:t>2、中共南京地下党员户籍档案整理研究</w:t>
      </w:r>
    </w:p>
    <w:p>
      <w:pPr>
        <w:pStyle w:val="2"/>
        <w:spacing w:before="111"/>
      </w:pPr>
      <w:r>
        <w:t>3、中国共产党百年奋斗的基本经验对南京高质量发展的研究</w:t>
      </w:r>
    </w:p>
    <w:p>
      <w:pPr>
        <w:spacing w:before="108" w:line="304" w:lineRule="auto"/>
        <w:ind w:left="108" w:right="4171" w:firstLine="0"/>
        <w:jc w:val="left"/>
        <w:rPr>
          <w:b/>
          <w:sz w:val="32"/>
        </w:rPr>
      </w:pPr>
      <w:r>
        <w:rPr>
          <w:sz w:val="32"/>
        </w:rPr>
        <w:t>4、南京开展“四史”教育的路径研究</w:t>
      </w:r>
      <w:r>
        <w:rPr>
          <w:b/>
          <w:sz w:val="32"/>
        </w:rPr>
        <w:t>重大项目：</w:t>
      </w:r>
    </w:p>
    <w:p>
      <w:pPr>
        <w:pStyle w:val="2"/>
      </w:pPr>
      <w:r>
        <w:rPr>
          <w:w w:val="95"/>
        </w:rPr>
        <w:t>1、南京支撑长三角科创圈建设路径研究</w:t>
      </w:r>
    </w:p>
    <w:p>
      <w:pPr>
        <w:pStyle w:val="2"/>
        <w:spacing w:before="109"/>
      </w:pPr>
      <w:r>
        <w:rPr>
          <w:w w:val="95"/>
        </w:rPr>
        <w:t>2、南京建设国际消费中心城市路径研究</w:t>
      </w:r>
    </w:p>
    <w:p>
      <w:pPr>
        <w:pStyle w:val="2"/>
        <w:spacing w:before="111" w:line="304" w:lineRule="auto"/>
        <w:ind w:right="3051"/>
        <w:rPr>
          <w:b/>
        </w:rPr>
      </w:pPr>
      <w:r>
        <w:rPr>
          <w:w w:val="95"/>
        </w:rPr>
        <w:t>3</w:t>
      </w:r>
      <w:r>
        <w:rPr>
          <w:spacing w:val="-14"/>
          <w:w w:val="95"/>
        </w:rPr>
        <w:t xml:space="preserve">、“双循环”新发展格局下的南京增长点研究 </w:t>
      </w:r>
      <w:r>
        <w:rPr>
          <w:b/>
          <w:spacing w:val="-14"/>
        </w:rPr>
        <w:t>重点项目：</w:t>
      </w:r>
    </w:p>
    <w:p>
      <w:pPr>
        <w:pStyle w:val="2"/>
        <w:spacing w:line="408" w:lineRule="exact"/>
      </w:pPr>
      <w:r>
        <w:t>1、长江经济带生态环境保护长效机制建设研究</w:t>
      </w:r>
    </w:p>
    <w:p>
      <w:pPr>
        <w:pStyle w:val="2"/>
        <w:spacing w:before="110"/>
      </w:pPr>
      <w:r>
        <w:t>2、南京市提高人民收入水平实践路径研究</w:t>
      </w:r>
    </w:p>
    <w:p>
      <w:pPr>
        <w:pStyle w:val="2"/>
        <w:spacing w:before="111"/>
      </w:pPr>
      <w:r>
        <w:t>3、宁杭生态经济带溧水先行示范作用发挥路径研究</w:t>
      </w:r>
    </w:p>
    <w:p>
      <w:pPr>
        <w:spacing w:before="109" w:line="304" w:lineRule="auto"/>
        <w:ind w:left="108" w:right="5131" w:firstLine="0"/>
        <w:jc w:val="left"/>
        <w:rPr>
          <w:b/>
          <w:sz w:val="32"/>
        </w:rPr>
      </w:pPr>
      <w:r>
        <w:rPr>
          <w:sz w:val="32"/>
        </w:rPr>
        <w:t>4、特大城市智慧治理路径研究</w:t>
      </w:r>
      <w:r>
        <w:rPr>
          <w:b/>
          <w:sz w:val="32"/>
        </w:rPr>
        <w:t>一般（青年）项目：</w:t>
      </w:r>
    </w:p>
    <w:p>
      <w:pPr>
        <w:pStyle w:val="2"/>
      </w:pPr>
      <w:r>
        <w:t>1、特大城市郊区新城发展研究</w:t>
      </w:r>
      <w:r>
        <w:rPr>
          <w:rFonts w:ascii="Times New Roman" w:hAnsi="Times New Roman" w:eastAsia="Times New Roman"/>
        </w:rPr>
        <w:t>——</w:t>
      </w:r>
      <w:r>
        <w:t>以南京为例</w:t>
      </w:r>
    </w:p>
    <w:p>
      <w:pPr>
        <w:pStyle w:val="2"/>
        <w:spacing w:before="108"/>
      </w:pPr>
      <w:r>
        <w:t>2、南京都市圈协同创新发展机制研究</w:t>
      </w:r>
    </w:p>
    <w:p>
      <w:pPr>
        <w:pStyle w:val="2"/>
        <w:spacing w:before="111"/>
      </w:pPr>
      <w:r>
        <w:t>3、南京新型研发机构建设现状及发展对策研究</w:t>
      </w:r>
    </w:p>
    <w:p>
      <w:pPr>
        <w:spacing w:after="0"/>
        <w:sectPr>
          <w:footerReference r:id="rId5" w:type="default"/>
          <w:footerReference r:id="rId6" w:type="even"/>
          <w:pgSz w:w="12240" w:h="15840"/>
          <w:pgMar w:top="1500" w:right="1200" w:bottom="1860" w:left="1480" w:header="0" w:footer="1677" w:gutter="0"/>
          <w:cols w:space="720" w:num="1"/>
        </w:sectPr>
      </w:pPr>
    </w:p>
    <w:p>
      <w:pPr>
        <w:pStyle w:val="2"/>
        <w:ind w:left="0"/>
        <w:rPr>
          <w:sz w:val="20"/>
        </w:rPr>
      </w:pPr>
    </w:p>
    <w:p>
      <w:pPr>
        <w:pStyle w:val="2"/>
        <w:spacing w:before="11"/>
        <w:ind w:left="0"/>
        <w:rPr>
          <w:sz w:val="29"/>
        </w:rPr>
      </w:pPr>
    </w:p>
    <w:p>
      <w:pPr>
        <w:pStyle w:val="2"/>
        <w:spacing w:before="55"/>
      </w:pPr>
      <w:r>
        <w:rPr>
          <w:w w:val="95"/>
        </w:rPr>
        <w:t>4、新发展格局下南京城乡产业融合发展研究</w:t>
      </w:r>
    </w:p>
    <w:p>
      <w:pPr>
        <w:pStyle w:val="2"/>
        <w:spacing w:before="110"/>
      </w:pPr>
      <w:r>
        <w:rPr>
          <w:w w:val="95"/>
        </w:rPr>
        <w:t>5、南京市主城区经济发展质量提升路径研究</w:t>
      </w:r>
    </w:p>
    <w:p>
      <w:pPr>
        <w:pStyle w:val="2"/>
        <w:spacing w:before="111"/>
      </w:pPr>
      <w:r>
        <w:t>6、南京加快推动区块链赋能科创金融发展对策研究</w:t>
      </w:r>
    </w:p>
    <w:p>
      <w:pPr>
        <w:pStyle w:val="2"/>
        <w:spacing w:before="109"/>
      </w:pPr>
      <w:r>
        <w:t>7、习近平法治思想在南京的实践研究</w:t>
      </w:r>
    </w:p>
    <w:p>
      <w:pPr>
        <w:pStyle w:val="2"/>
        <w:spacing w:before="110"/>
      </w:pPr>
      <w:r>
        <w:t>8、培养新时代大学生家国情怀的路径与方法研究</w:t>
      </w:r>
    </w:p>
    <w:p>
      <w:pPr>
        <w:pStyle w:val="2"/>
        <w:spacing w:before="111"/>
      </w:pPr>
      <w:r>
        <w:t>9、南京地区高校与属地意识形态工作联动机制研究</w:t>
      </w:r>
    </w:p>
    <w:p>
      <w:pPr>
        <w:pStyle w:val="2"/>
        <w:spacing w:before="109"/>
      </w:pPr>
      <w:r>
        <w:t>10、南京理论宣讲的实践探索与创新路径研究</w:t>
      </w:r>
    </w:p>
    <w:p>
      <w:pPr>
        <w:pStyle w:val="2"/>
        <w:spacing w:before="110"/>
      </w:pPr>
      <w:r>
        <w:t>11、南京城乡社区治理体系研究</w:t>
      </w:r>
    </w:p>
    <w:p>
      <w:pPr>
        <w:pStyle w:val="2"/>
        <w:spacing w:before="111"/>
      </w:pPr>
      <w:r>
        <w:t>12、南京积极应对老龄化的治理策略研究</w:t>
      </w:r>
    </w:p>
    <w:p>
      <w:pPr>
        <w:pStyle w:val="2"/>
        <w:spacing w:before="109"/>
      </w:pPr>
      <w:r>
        <w:t>13、南京乡村振兴的社会支持体系研究</w:t>
      </w:r>
    </w:p>
    <w:p>
      <w:pPr>
        <w:pStyle w:val="2"/>
        <w:spacing w:before="110"/>
      </w:pPr>
      <w:r>
        <w:rPr>
          <w:w w:val="95"/>
        </w:rPr>
        <w:t>14、南京红色文化资源挖掘和革命精神弘扬研究</w:t>
      </w:r>
    </w:p>
    <w:p>
      <w:pPr>
        <w:pStyle w:val="2"/>
        <w:spacing w:before="111"/>
      </w:pPr>
      <w:r>
        <w:rPr>
          <w:w w:val="95"/>
        </w:rPr>
        <w:t>15、南京市打造全国一流数字文化名城对策研究</w:t>
      </w:r>
    </w:p>
    <w:p>
      <w:pPr>
        <w:pStyle w:val="2"/>
        <w:spacing w:before="109"/>
      </w:pPr>
      <w:r>
        <w:t>16、以文旅融合的短视频传播推动长江旅游带繁荣发展研究</w:t>
      </w:r>
    </w:p>
    <w:p>
      <w:pPr>
        <w:pStyle w:val="2"/>
        <w:spacing w:before="110"/>
      </w:pPr>
      <w:r>
        <w:t>17、南京传承与弘扬长江文化的创新机制研究</w:t>
      </w:r>
    </w:p>
    <w:p>
      <w:pPr>
        <w:pStyle w:val="2"/>
        <w:spacing w:before="111"/>
      </w:pPr>
      <w:r>
        <w:t>18、理论宣讲节目《思想的力量》大众化创新路径研究</w:t>
      </w:r>
    </w:p>
    <w:p>
      <w:pPr>
        <w:pStyle w:val="2"/>
        <w:spacing w:before="109"/>
      </w:pPr>
      <w:r>
        <w:t>19、新国际格局下以南京为试点的中国国际志愿服务发展研究</w:t>
      </w:r>
    </w:p>
    <w:p>
      <w:pPr>
        <w:pStyle w:val="2"/>
        <w:spacing w:before="110"/>
      </w:pPr>
      <w:r>
        <w:rPr>
          <w:w w:val="95"/>
        </w:rPr>
        <w:t>20、南京大屠杀档案文献收集整理与利用研究</w:t>
      </w:r>
    </w:p>
    <w:p>
      <w:pPr>
        <w:pStyle w:val="2"/>
        <w:spacing w:before="111"/>
      </w:pPr>
      <w:r>
        <w:rPr>
          <w:w w:val="95"/>
        </w:rPr>
        <w:t>21、高校创新创业教育服务南京经济发展研究</w:t>
      </w:r>
    </w:p>
    <w:p>
      <w:pPr>
        <w:pStyle w:val="2"/>
        <w:spacing w:before="109"/>
      </w:pPr>
      <w:r>
        <w:t>22、南京青少年道德认同的现状与培育研究</w:t>
      </w:r>
    </w:p>
    <w:sectPr>
      <w:pgSz w:w="12240" w:h="15840"/>
      <w:pgMar w:top="1500" w:right="1200" w:bottom="1860" w:left="1480" w:header="0" w:footer="16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488.2pt;margin-top:697.15pt;height:17.6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49" w:lineRule="exact"/>
                  <w:ind w:left="20" w:right="0" w:firstLine="0"/>
                  <w:jc w:val="left"/>
                  <w:rPr>
                    <w:rFonts w:ascii="宋体" w:hAnsi="宋体"/>
                    <w:sz w:val="28"/>
                  </w:rPr>
                </w:pPr>
                <w:r>
                  <w:rPr>
                    <w:rFonts w:ascii="宋体" w:hAnsi="宋体"/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rFonts w:ascii="Times New Roman" w:hAnsi="Times New Roman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/>
                    <w:sz w:val="28"/>
                  </w:rPr>
                  <w:t xml:space="preserve"> </w:t>
                </w:r>
                <w:r>
                  <w:rPr>
                    <w:rFonts w:ascii="宋体" w:hAnsi="宋体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2050" o:spid="_x0000_s2050" o:spt="202" type="#_x0000_t202" style="position:absolute;left:0pt;margin-left:78.4pt;margin-top:697.15pt;height:17.6pt;width:5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49" w:lineRule="exact"/>
                  <w:ind w:left="20" w:right="0" w:firstLine="0"/>
                  <w:jc w:val="left"/>
                  <w:rPr>
                    <w:rFonts w:ascii="宋体" w:hAnsi="宋体"/>
                    <w:sz w:val="28"/>
                  </w:rPr>
                </w:pPr>
                <w:r>
                  <w:rPr>
                    <w:rFonts w:ascii="宋体" w:hAnsi="宋体"/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rFonts w:ascii="Times New Roman" w:hAnsi="Times New Roman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Times New Roman" w:hAnsi="Times New Roman"/>
                    <w:spacing w:val="68"/>
                    <w:sz w:val="28"/>
                  </w:rPr>
                  <w:t xml:space="preserve"> </w:t>
                </w:r>
                <w:r>
                  <w:rPr>
                    <w:rFonts w:ascii="宋体" w:hAnsi="宋体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26564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8"/>
    </w:pPr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2021-06-08T08:53:00Z</dcterms:created>
  <dc:creator>Sealin</dc:creator>
  <cp:lastModifiedBy>阳省蔚</cp:lastModifiedBy>
  <dcterms:modified xsi:type="dcterms:W3CDTF">2021-06-08T08:55:04Z</dcterms:modified>
  <dc:title>中共南京市委宣传部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2021-06-08T00:00:00Z</vt:filetime>
  </property>
  <property fmtid="{D5CDD505-2E9C-101B-9397-08002B2CF9AE}" pid="5" name="KSOProductBuildVer">
    <vt:lpwstr>2052-11.1.0.10495</vt:lpwstr>
  </property>
  <property fmtid="{D5CDD505-2E9C-101B-9397-08002B2CF9AE}" pid="6" name="ICV">
    <vt:lpwstr>F8CE7B417AC84051AAEE6BCFF477F923</vt:lpwstr>
  </property>
</Properties>
</file>