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 w:after="45" w:line="276" w:lineRule="auto"/>
        <w:rPr>
          <w:rFonts w:hint="eastAsia" w:ascii="宋体" w:hAnsi="宋体" w:eastAsia="宋体" w:cs="宋体"/>
          <w:b/>
          <w:bCs/>
          <w:sz w:val="32"/>
          <w:szCs w:val="32"/>
          <w:lang w:val="en-US" w:eastAsia="zh-CN"/>
        </w:rPr>
      </w:pPr>
      <w:r>
        <w:rPr>
          <w:rFonts w:hint="eastAsia" w:ascii="仿宋" w:hAnsi="仿宋" w:eastAsia="仿宋" w:cs="宋体"/>
          <w:bCs/>
          <w:kern w:val="0"/>
          <w:sz w:val="32"/>
          <w:szCs w:val="32"/>
        </w:rPr>
        <w:t>附件</w:t>
      </w:r>
      <w:r>
        <w:rPr>
          <w:rFonts w:hint="eastAsia" w:ascii="仿宋" w:hAnsi="仿宋" w:eastAsia="仿宋" w:cs="宋体"/>
          <w:bCs/>
          <w:kern w:val="0"/>
          <w:sz w:val="32"/>
          <w:szCs w:val="32"/>
          <w:lang w:val="en-US" w:eastAsia="zh-CN"/>
        </w:rPr>
        <w:t>3</w:t>
      </w:r>
      <w:r>
        <w:rPr>
          <w:rFonts w:hint="eastAsia" w:ascii="仿宋" w:hAnsi="仿宋" w:eastAsia="仿宋" w:cs="宋体"/>
          <w:bCs/>
          <w:kern w:val="0"/>
          <w:sz w:val="32"/>
          <w:szCs w:val="32"/>
        </w:rPr>
        <w:t>：</w:t>
      </w:r>
    </w:p>
    <w:p>
      <w:pPr>
        <w:widowControl w:val="0"/>
        <w:numPr>
          <w:ilvl w:val="0"/>
          <w:numId w:val="0"/>
        </w:numPr>
        <w:tabs>
          <w:tab w:val="left" w:pos="312"/>
        </w:tabs>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科研项目（课题）间接费用绩效支出简要说明</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lang w:val="en-US" w:eastAsia="zh-CN"/>
        </w:rPr>
        <w:t>1</w:t>
      </w:r>
      <w:r>
        <w:rPr>
          <w:rFonts w:hint="eastAsia" w:ascii="宋体" w:hAnsi="宋体" w:eastAsia="宋体" w:cs="宋体"/>
          <w:b/>
          <w:bCs/>
          <w:color w:val="FF0000"/>
          <w:sz w:val="28"/>
          <w:szCs w:val="28"/>
        </w:rPr>
        <w:t>.</w:t>
      </w:r>
      <w:r>
        <w:rPr>
          <w:rFonts w:hint="eastAsia" w:ascii="宋体" w:hAnsi="宋体" w:eastAsia="宋体" w:cs="宋体"/>
          <w:b/>
          <w:bCs/>
          <w:color w:val="FF0000"/>
          <w:sz w:val="28"/>
          <w:szCs w:val="28"/>
          <w:lang w:val="en-US" w:eastAsia="zh-CN"/>
        </w:rPr>
        <w:t>科研</w:t>
      </w:r>
      <w:r>
        <w:rPr>
          <w:rFonts w:hint="eastAsia" w:ascii="宋体" w:hAnsi="宋体" w:eastAsia="宋体" w:cs="宋体"/>
          <w:b/>
          <w:bCs/>
          <w:color w:val="FF0000"/>
          <w:sz w:val="28"/>
          <w:szCs w:val="28"/>
        </w:rPr>
        <w:t>纵向项目（课题）间接费</w:t>
      </w:r>
      <w:r>
        <w:rPr>
          <w:rFonts w:hint="eastAsia" w:ascii="宋体" w:hAnsi="宋体" w:eastAsia="宋体" w:cs="宋体"/>
          <w:b/>
          <w:bCs/>
          <w:color w:val="FF0000"/>
          <w:sz w:val="28"/>
          <w:szCs w:val="28"/>
          <w:lang w:val="en-US" w:eastAsia="zh-CN"/>
        </w:rPr>
        <w:t>用</w:t>
      </w:r>
      <w:r>
        <w:rPr>
          <w:rFonts w:hint="eastAsia" w:ascii="宋体" w:hAnsi="宋体" w:eastAsia="宋体" w:cs="宋体"/>
          <w:b/>
          <w:bCs/>
          <w:color w:val="FF0000"/>
          <w:sz w:val="28"/>
          <w:szCs w:val="28"/>
        </w:rPr>
        <w:t>?</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（1）项目间接费用一般由</w:t>
      </w:r>
      <w:r>
        <w:rPr>
          <w:rFonts w:hint="eastAsia" w:ascii="宋体" w:hAnsi="宋体" w:eastAsia="宋体" w:cs="宋体"/>
          <w:b/>
          <w:bCs/>
          <w:sz w:val="28"/>
          <w:szCs w:val="28"/>
        </w:rPr>
        <w:t>项目绩效支出</w:t>
      </w:r>
      <w:r>
        <w:rPr>
          <w:rFonts w:hint="eastAsia" w:ascii="宋体" w:hAnsi="宋体" w:eastAsia="宋体" w:cs="宋体"/>
          <w:sz w:val="28"/>
          <w:szCs w:val="28"/>
        </w:rPr>
        <w:t>和</w:t>
      </w:r>
      <w:r>
        <w:rPr>
          <w:rFonts w:hint="eastAsia" w:ascii="宋体" w:hAnsi="宋体" w:eastAsia="宋体" w:cs="宋体"/>
          <w:b/>
          <w:bCs/>
          <w:sz w:val="28"/>
          <w:szCs w:val="28"/>
        </w:rPr>
        <w:t>科研管理费</w:t>
      </w:r>
      <w:r>
        <w:rPr>
          <w:rFonts w:hint="eastAsia" w:ascii="宋体" w:hAnsi="宋体" w:eastAsia="宋体" w:cs="宋体"/>
          <w:sz w:val="28"/>
          <w:szCs w:val="28"/>
        </w:rPr>
        <w:t xml:space="preserve">两部分组成。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（2）项目组绩效支出由间接费用中列支，最高额度为间接费用减去科研管理费后的余额。项目绩效支出是指在项目结项后以酬金形式</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俗称“打工资卡”</w:t>
      </w:r>
      <w:r>
        <w:rPr>
          <w:rFonts w:hint="eastAsia" w:ascii="宋体" w:hAnsi="宋体" w:eastAsia="宋体" w:cs="宋体"/>
          <w:b/>
          <w:bCs/>
          <w:sz w:val="28"/>
          <w:szCs w:val="28"/>
          <w:lang w:eastAsia="zh-CN"/>
        </w:rPr>
        <w:t>）</w:t>
      </w:r>
      <w:r>
        <w:rPr>
          <w:rFonts w:hint="eastAsia" w:ascii="宋体" w:hAnsi="宋体" w:eastAsia="宋体" w:cs="宋体"/>
          <w:sz w:val="28"/>
          <w:szCs w:val="28"/>
        </w:rPr>
        <w:t>一次性发放给项目组，并由项目主持人统筹分配（无需发票报销）。纵向科研项目按期结项的项目组绩效，按额度的100%一次性发放；延期结项的项目组绩效，按额度的80%一次性发放；未结项的项目不予发放项目绩效。校内自筹项目通过学校考核和验收的，按额度的100%一次性发放；未通过考核验收的，不予发放项目绩效。</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（3）科研管理费由学校统一提取，按照</w:t>
      </w:r>
      <w:r>
        <w:rPr>
          <w:rFonts w:hint="eastAsia" w:ascii="宋体" w:hAnsi="宋体" w:eastAsia="宋体" w:cs="宋体"/>
          <w:b/>
          <w:bCs/>
          <w:sz w:val="28"/>
          <w:szCs w:val="28"/>
        </w:rPr>
        <w:t>总经费的5%</w:t>
      </w:r>
      <w:r>
        <w:rPr>
          <w:rFonts w:hint="eastAsia" w:ascii="宋体" w:hAnsi="宋体" w:eastAsia="宋体" w:cs="宋体"/>
          <w:sz w:val="28"/>
          <w:szCs w:val="28"/>
        </w:rPr>
        <w:t>在间接费用中列支。管理费提取上限：</w:t>
      </w:r>
      <w:r>
        <w:rPr>
          <w:rFonts w:hint="eastAsia" w:ascii="宋体" w:hAnsi="宋体" w:eastAsia="宋体" w:cs="宋体"/>
          <w:sz w:val="28"/>
          <w:szCs w:val="28"/>
          <w:lang w:val="en-US" w:eastAsia="zh-CN"/>
        </w:rPr>
        <w:t>项目类型为</w:t>
      </w:r>
      <w:r>
        <w:rPr>
          <w:rFonts w:hint="eastAsia" w:ascii="宋体" w:hAnsi="宋体" w:eastAsia="宋体" w:cs="宋体"/>
          <w:sz w:val="28"/>
          <w:szCs w:val="28"/>
        </w:rPr>
        <w:t>一般项目的科研管理费最高</w:t>
      </w:r>
      <w:r>
        <w:rPr>
          <w:rFonts w:hint="eastAsia" w:ascii="宋体" w:hAnsi="宋体" w:eastAsia="宋体" w:cs="宋体"/>
          <w:b/>
          <w:bCs/>
          <w:sz w:val="28"/>
          <w:szCs w:val="28"/>
        </w:rPr>
        <w:t>不超过2000元</w:t>
      </w:r>
      <w:r>
        <w:rPr>
          <w:rFonts w:hint="eastAsia" w:ascii="宋体" w:hAnsi="宋体" w:eastAsia="宋体" w:cs="宋体"/>
          <w:sz w:val="28"/>
          <w:szCs w:val="28"/>
        </w:rPr>
        <w:t>，重大重点项目</w:t>
      </w:r>
      <w:r>
        <w:rPr>
          <w:rFonts w:hint="eastAsia" w:ascii="宋体" w:hAnsi="宋体" w:eastAsia="宋体" w:cs="宋体"/>
          <w:b/>
          <w:bCs/>
          <w:sz w:val="28"/>
          <w:szCs w:val="28"/>
        </w:rPr>
        <w:t>不超过5000元</w:t>
      </w:r>
      <w:r>
        <w:rPr>
          <w:rFonts w:hint="eastAsia" w:ascii="宋体" w:hAnsi="宋体" w:eastAsia="宋体" w:cs="宋体"/>
          <w:sz w:val="28"/>
          <w:szCs w:val="28"/>
        </w:rPr>
        <w:t>。</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（4）间接经费一般是不超过项目批准总经费的30%（特殊情况除外），</w:t>
      </w:r>
      <w:r>
        <w:rPr>
          <w:rFonts w:hint="eastAsia" w:ascii="宋体" w:hAnsi="宋体" w:eastAsia="宋体" w:cs="宋体"/>
          <w:b/>
          <w:bCs/>
          <w:sz w:val="28"/>
          <w:szCs w:val="28"/>
        </w:rPr>
        <w:t>情况1：</w:t>
      </w:r>
      <w:r>
        <w:rPr>
          <w:rFonts w:hint="eastAsia" w:ascii="宋体" w:hAnsi="宋体" w:eastAsia="宋体" w:cs="宋体"/>
          <w:sz w:val="28"/>
          <w:szCs w:val="28"/>
        </w:rPr>
        <w:t>无特殊说明，项目预算拆分时，设置项目的间接经费上下限是批准总经费的5%至30%（保证有批准总经费的5%是科研管理费，扣除这部分的间接经费都是绩效支出可用于提取）；</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b/>
          <w:bCs/>
          <w:sz w:val="28"/>
          <w:szCs w:val="28"/>
        </w:rPr>
        <w:t>情况2：学校配套经费部分</w:t>
      </w:r>
      <w:r>
        <w:rPr>
          <w:rFonts w:hint="eastAsia" w:ascii="宋体" w:hAnsi="宋体" w:eastAsia="宋体" w:cs="宋体"/>
          <w:sz w:val="28"/>
          <w:szCs w:val="28"/>
        </w:rPr>
        <w:t>，项目预算拆分时，设置项目的间接经费上下限是批准总经费的0至30%（</w:t>
      </w:r>
      <w:r>
        <w:rPr>
          <w:rFonts w:hint="eastAsia" w:ascii="宋体" w:hAnsi="宋体" w:eastAsia="宋体" w:cs="宋体"/>
          <w:b/>
          <w:bCs/>
          <w:sz w:val="28"/>
          <w:szCs w:val="28"/>
        </w:rPr>
        <w:t>无需提取科研管理费</w:t>
      </w:r>
      <w:r>
        <w:rPr>
          <w:rFonts w:hint="eastAsia" w:ascii="宋体" w:hAnsi="宋体" w:eastAsia="宋体" w:cs="宋体"/>
          <w:sz w:val="28"/>
          <w:szCs w:val="28"/>
        </w:rPr>
        <w:t>，</w:t>
      </w:r>
      <w:r>
        <w:rPr>
          <w:rFonts w:hint="eastAsia" w:ascii="宋体" w:hAnsi="宋体" w:eastAsia="宋体" w:cs="宋体"/>
          <w:sz w:val="28"/>
          <w:szCs w:val="28"/>
          <w:lang w:val="en-US" w:eastAsia="zh-CN"/>
        </w:rPr>
        <w:t>此时</w:t>
      </w:r>
      <w:r>
        <w:rPr>
          <w:rFonts w:hint="eastAsia" w:ascii="宋体" w:hAnsi="宋体" w:eastAsia="宋体" w:cs="宋体"/>
          <w:sz w:val="28"/>
          <w:szCs w:val="28"/>
        </w:rPr>
        <w:t>间接经费都是绩效支出可用于提取）；</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lang w:val="en-US" w:eastAsia="zh-CN"/>
        </w:rPr>
        <w:t>2</w:t>
      </w:r>
      <w:r>
        <w:rPr>
          <w:rFonts w:hint="eastAsia" w:ascii="宋体" w:hAnsi="宋体" w:eastAsia="宋体" w:cs="宋体"/>
          <w:b/>
          <w:bCs/>
          <w:color w:val="FF0000"/>
          <w:sz w:val="28"/>
          <w:szCs w:val="28"/>
        </w:rPr>
        <w:t>.</w:t>
      </w:r>
      <w:r>
        <w:rPr>
          <w:rFonts w:hint="eastAsia" w:ascii="宋体" w:hAnsi="宋体" w:eastAsia="宋体" w:cs="宋体"/>
          <w:b/>
          <w:bCs/>
          <w:color w:val="FF0000"/>
          <w:sz w:val="28"/>
          <w:szCs w:val="28"/>
          <w:lang w:val="en-US" w:eastAsia="zh-CN"/>
        </w:rPr>
        <w:t>科研</w:t>
      </w:r>
      <w:r>
        <w:rPr>
          <w:rFonts w:hint="eastAsia" w:ascii="宋体" w:hAnsi="宋体" w:eastAsia="宋体" w:cs="宋体"/>
          <w:b/>
          <w:bCs/>
          <w:color w:val="FF0000"/>
          <w:sz w:val="28"/>
          <w:szCs w:val="28"/>
        </w:rPr>
        <w:t>横向项目（课题）间接费</w:t>
      </w:r>
      <w:r>
        <w:rPr>
          <w:rFonts w:hint="eastAsia" w:ascii="宋体" w:hAnsi="宋体" w:eastAsia="宋体" w:cs="宋体"/>
          <w:b/>
          <w:bCs/>
          <w:color w:val="FF0000"/>
          <w:sz w:val="28"/>
          <w:szCs w:val="28"/>
          <w:lang w:val="en-US" w:eastAsia="zh-CN"/>
        </w:rPr>
        <w:t>用</w:t>
      </w:r>
      <w:r>
        <w:rPr>
          <w:rFonts w:hint="eastAsia" w:ascii="宋体" w:hAnsi="宋体" w:eastAsia="宋体" w:cs="宋体"/>
          <w:b/>
          <w:bCs/>
          <w:color w:val="FF0000"/>
          <w:sz w:val="28"/>
          <w:szCs w:val="28"/>
        </w:rPr>
        <w:t>?</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（1）横向项目（课题）各科目严格按照合同进行开支使用，管理办法对各科目未作明确的比例限制；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（2）横向项目（课题）会按照合同总经费的5%收取科研管理费，且未设置管理费提取上限。</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lang w:val="en-US" w:eastAsia="zh-CN"/>
        </w:rPr>
        <w:t>3</w:t>
      </w:r>
      <w:r>
        <w:rPr>
          <w:rFonts w:hint="eastAsia" w:ascii="宋体" w:hAnsi="宋体" w:eastAsia="宋体" w:cs="宋体"/>
          <w:b/>
          <w:bCs/>
          <w:color w:val="FF0000"/>
          <w:sz w:val="28"/>
          <w:szCs w:val="28"/>
        </w:rPr>
        <w:t>.《结项证书（证明）》要求？</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项目负责人提交《南京特殊教育师范学院科研项目（课题）绩效支出申请表》时，</w:t>
      </w:r>
      <w:r>
        <w:rPr>
          <w:rFonts w:hint="eastAsia" w:ascii="宋体" w:hAnsi="宋体" w:eastAsia="宋体" w:cs="宋体"/>
          <w:sz w:val="28"/>
          <w:szCs w:val="28"/>
        </w:rPr>
        <w:t>必须提供结项证书或者开具的结项证明</w:t>
      </w:r>
      <w:r>
        <w:rPr>
          <w:rFonts w:hint="eastAsia" w:ascii="宋体" w:hAnsi="宋体" w:eastAsia="宋体" w:cs="宋体"/>
          <w:sz w:val="28"/>
          <w:szCs w:val="28"/>
          <w:lang w:val="en-US" w:eastAsia="zh-CN"/>
        </w:rPr>
        <w:t>原件（或</w:t>
      </w:r>
      <w:r>
        <w:rPr>
          <w:rFonts w:hint="eastAsia" w:ascii="宋体" w:hAnsi="宋体" w:eastAsia="宋体" w:cs="宋体"/>
          <w:sz w:val="28"/>
          <w:szCs w:val="28"/>
        </w:rPr>
        <w:t>复印件，同时上传扫描件至科研管理系统</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以便于确认项目（课题）已经结题，参与提取间接经费</w:t>
      </w:r>
      <w:bookmarkStart w:id="0" w:name="_GoBack"/>
      <w:bookmarkEnd w:id="0"/>
      <w:r>
        <w:rPr>
          <w:rFonts w:hint="eastAsia" w:ascii="宋体" w:hAnsi="宋体" w:eastAsia="宋体" w:cs="宋体"/>
          <w:sz w:val="28"/>
          <w:szCs w:val="28"/>
          <w:lang w:val="en-US" w:eastAsia="zh-CN"/>
        </w:rPr>
        <w:t>绩效支出的人员为项目组成员。</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4.提取绩效，发放酬金（打卡）？</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项目负责人提交《南京特殊教育师范学院科研项目（课题）绩效支出申请表》</w:t>
      </w:r>
      <w:r>
        <w:rPr>
          <w:rFonts w:hint="eastAsia" w:ascii="宋体" w:hAnsi="宋体" w:eastAsia="宋体" w:cs="宋体"/>
          <w:sz w:val="28"/>
          <w:szCs w:val="28"/>
          <w:lang w:val="en-US" w:eastAsia="zh-CN"/>
        </w:rPr>
        <w:t>后，</w:t>
      </w:r>
      <w:r>
        <w:rPr>
          <w:rFonts w:hint="eastAsia" w:ascii="宋体" w:hAnsi="宋体" w:eastAsia="宋体" w:cs="宋体"/>
          <w:sz w:val="28"/>
          <w:szCs w:val="28"/>
        </w:rPr>
        <w:t>科研处将会同财务处进行审核，由科研处将审核通过的1份《申请表》归还给项目负责人。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项目负责人根据《申请表》中的绩效支出发放方案，在财务系统中</w:t>
      </w:r>
      <w:r>
        <w:rPr>
          <w:rFonts w:hint="eastAsia" w:ascii="宋体" w:hAnsi="宋体" w:eastAsia="宋体" w:cs="宋体"/>
          <w:sz w:val="28"/>
          <w:szCs w:val="28"/>
          <w:lang w:val="en-US" w:eastAsia="zh-CN"/>
        </w:rPr>
        <w:t>进行</w:t>
      </w:r>
      <w:r>
        <w:rPr>
          <w:rFonts w:hint="eastAsia" w:ascii="宋体" w:hAnsi="宋体" w:eastAsia="宋体" w:cs="宋体"/>
          <w:sz w:val="28"/>
          <w:szCs w:val="28"/>
        </w:rPr>
        <w:t>酬金</w:t>
      </w:r>
      <w:r>
        <w:rPr>
          <w:rFonts w:hint="eastAsia" w:ascii="宋体" w:hAnsi="宋体" w:eastAsia="宋体" w:cs="宋体"/>
          <w:sz w:val="28"/>
          <w:szCs w:val="28"/>
          <w:lang w:val="en-US" w:eastAsia="zh-CN"/>
        </w:rPr>
        <w:t>申报</w:t>
      </w:r>
      <w:r>
        <w:rPr>
          <w:rFonts w:hint="eastAsia" w:ascii="宋体" w:hAnsi="宋体" w:eastAsia="宋体" w:cs="宋体"/>
          <w:sz w:val="28"/>
          <w:szCs w:val="28"/>
        </w:rPr>
        <w:t>，打印酬金发放明细单，按照</w:t>
      </w:r>
      <w:r>
        <w:rPr>
          <w:rFonts w:hint="eastAsia" w:ascii="宋体" w:hAnsi="宋体" w:eastAsia="宋体" w:cs="宋体"/>
          <w:sz w:val="28"/>
          <w:szCs w:val="28"/>
          <w:lang w:val="en-US" w:eastAsia="zh-CN"/>
        </w:rPr>
        <w:t>一般酬金</w:t>
      </w:r>
      <w:r>
        <w:rPr>
          <w:rFonts w:hint="eastAsia" w:ascii="宋体" w:hAnsi="宋体" w:eastAsia="宋体" w:cs="宋体"/>
          <w:sz w:val="28"/>
          <w:szCs w:val="28"/>
        </w:rPr>
        <w:t>报销手续签字（</w:t>
      </w:r>
      <w:r>
        <w:rPr>
          <w:rFonts w:hint="eastAsia" w:ascii="宋体" w:hAnsi="宋体" w:eastAsia="宋体" w:cs="宋体"/>
          <w:sz w:val="28"/>
          <w:szCs w:val="28"/>
          <w:lang w:val="en-US" w:eastAsia="zh-CN"/>
        </w:rPr>
        <w:t>参考</w:t>
      </w:r>
      <w:r>
        <w:rPr>
          <w:rFonts w:hint="eastAsia" w:ascii="宋体" w:hAnsi="宋体" w:eastAsia="宋体" w:cs="宋体"/>
          <w:sz w:val="28"/>
          <w:szCs w:val="28"/>
        </w:rPr>
        <w:t>劳务费、专家咨询费</w:t>
      </w:r>
      <w:r>
        <w:rPr>
          <w:rFonts w:hint="eastAsia" w:ascii="宋体" w:hAnsi="宋体" w:eastAsia="宋体" w:cs="宋体"/>
          <w:sz w:val="28"/>
          <w:szCs w:val="28"/>
          <w:lang w:eastAsia="zh-CN"/>
        </w:rPr>
        <w:t>，</w:t>
      </w:r>
      <w:r>
        <w:rPr>
          <w:rFonts w:hint="eastAsia" w:ascii="宋体" w:hAnsi="宋体" w:eastAsia="宋体" w:cs="宋体"/>
          <w:sz w:val="28"/>
          <w:szCs w:val="28"/>
        </w:rPr>
        <w:t>一般情况是本人、证明人、所在二级单位领导）。同时附上审核通过的《申请表》（原件或复印件），作为此次酬金发放的必要附件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提交财务即可。</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auto"/>
        <w:jc w:val="both"/>
        <w:textAlignment w:val="auto"/>
        <w:outlineLvl w:val="9"/>
        <w:rPr>
          <w:rFonts w:hint="eastAsia" w:ascii="宋体" w:hAnsi="宋体" w:eastAsia="宋体" w:cs="宋体"/>
          <w:b/>
          <w:bCs/>
          <w:color w:val="FF0000"/>
          <w:sz w:val="28"/>
          <w:szCs w:val="28"/>
          <w:highlight w:val="none"/>
          <w:lang w:val="en-US" w:eastAsia="zh-CN"/>
        </w:rPr>
      </w:pPr>
      <w:r>
        <w:rPr>
          <w:rFonts w:hint="eastAsia" w:ascii="宋体" w:hAnsi="宋体" w:eastAsia="宋体" w:cs="宋体"/>
          <w:b/>
          <w:bCs/>
          <w:color w:val="FF0000"/>
          <w:sz w:val="28"/>
          <w:szCs w:val="28"/>
          <w:highlight w:val="none"/>
          <w:lang w:val="en-US" w:eastAsia="zh-CN"/>
        </w:rPr>
        <w:t>5.提取间接费用绩效支出前提条件？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（1）项目已经结题，有结题证明或者结题公告。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（2）项目预算拆分中，间接经费存在绩效支出。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（3）财务系统中项目余额，满足一次性提取该项目的间接经费绩效（</w:t>
      </w:r>
      <w:r>
        <w:rPr>
          <w:rFonts w:hint="eastAsia" w:ascii="宋体" w:hAnsi="宋体" w:eastAsia="宋体" w:cs="宋体"/>
          <w:b/>
          <w:bCs/>
          <w:sz w:val="28"/>
          <w:szCs w:val="28"/>
          <w:lang w:val="en-US" w:eastAsia="zh-CN"/>
        </w:rPr>
        <w:t>因部分项目虽然已经结题，但仍有尾款未拨入，系统余额不足以一次性提取，待有后续经费拨入后再进行提取</w:t>
      </w:r>
      <w:r>
        <w:rPr>
          <w:rFonts w:hint="eastAsia" w:ascii="宋体" w:hAnsi="宋体" w:eastAsia="宋体" w:cs="宋体"/>
          <w:sz w:val="28"/>
          <w:szCs w:val="28"/>
          <w:lang w:val="en-US" w:eastAsia="zh-CN"/>
        </w:rPr>
        <w:t>），</w:t>
      </w:r>
      <w:r>
        <w:rPr>
          <w:rFonts w:hint="eastAsia" w:ascii="宋体" w:hAnsi="宋体" w:eastAsia="宋体" w:cs="宋体"/>
          <w:sz w:val="28"/>
          <w:szCs w:val="28"/>
          <w:highlight w:val="yellow"/>
          <w:lang w:val="en-US" w:eastAsia="zh-CN"/>
        </w:rPr>
        <w:t>通过下列步骤，可在财务系统中查询某个项目实际可支配余额以及间接经费预算额度。</w:t>
      </w:r>
    </w:p>
    <w:p>
      <w:pPr>
        <w:widowControl w:val="0"/>
        <w:numPr>
          <w:ilvl w:val="0"/>
          <w:numId w:val="0"/>
        </w:numPr>
        <w:tabs>
          <w:tab w:val="left" w:pos="312"/>
        </w:tabs>
        <w:jc w:val="both"/>
      </w:pPr>
      <w:r>
        <w:drawing>
          <wp:inline distT="0" distB="0" distL="114300" distR="114300">
            <wp:extent cx="5238115" cy="21145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38115" cy="2114550"/>
                    </a:xfrm>
                    <a:prstGeom prst="rect">
                      <a:avLst/>
                    </a:prstGeom>
                    <a:noFill/>
                    <a:ln>
                      <a:noFill/>
                    </a:ln>
                  </pic:spPr>
                </pic:pic>
              </a:graphicData>
            </a:graphic>
          </wp:inline>
        </w:drawing>
      </w:r>
      <w:r>
        <w:drawing>
          <wp:inline distT="0" distB="0" distL="114300" distR="114300">
            <wp:extent cx="5269865" cy="2364105"/>
            <wp:effectExtent l="0" t="0" r="698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9865" cy="2364105"/>
                    </a:xfrm>
                    <a:prstGeom prst="rect">
                      <a:avLst/>
                    </a:prstGeom>
                    <a:noFill/>
                    <a:ln>
                      <a:noFill/>
                    </a:ln>
                  </pic:spPr>
                </pic:pic>
              </a:graphicData>
            </a:graphic>
          </wp:inline>
        </w:drawing>
      </w:r>
      <w:r>
        <w:drawing>
          <wp:inline distT="0" distB="0" distL="114300" distR="114300">
            <wp:extent cx="5269230" cy="3654425"/>
            <wp:effectExtent l="0" t="0" r="762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9230" cy="3654425"/>
                    </a:xfrm>
                    <a:prstGeom prst="rect">
                      <a:avLst/>
                    </a:prstGeom>
                    <a:noFill/>
                    <a:ln>
                      <a:noFill/>
                    </a:ln>
                  </pic:spPr>
                </pic:pic>
              </a:graphicData>
            </a:graphic>
          </wp:inline>
        </w:drawing>
      </w:r>
    </w:p>
    <w:p>
      <w:pPr>
        <w:widowControl w:val="0"/>
        <w:numPr>
          <w:ilvl w:val="0"/>
          <w:numId w:val="0"/>
        </w:numPr>
        <w:tabs>
          <w:tab w:val="left" w:pos="312"/>
        </w:tabs>
        <w:jc w:val="both"/>
        <w:rPr>
          <w:rFonts w:hint="eastAsia"/>
          <w:b/>
          <w:bCs/>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C22F2"/>
    <w:rsid w:val="08C9138D"/>
    <w:rsid w:val="0E4E0C61"/>
    <w:rsid w:val="10660502"/>
    <w:rsid w:val="119F63C2"/>
    <w:rsid w:val="12B12C98"/>
    <w:rsid w:val="16433010"/>
    <w:rsid w:val="16624058"/>
    <w:rsid w:val="19FE66F5"/>
    <w:rsid w:val="26094E83"/>
    <w:rsid w:val="26537937"/>
    <w:rsid w:val="28CF09A1"/>
    <w:rsid w:val="33C40376"/>
    <w:rsid w:val="3B1B7CB2"/>
    <w:rsid w:val="40534539"/>
    <w:rsid w:val="41D016E8"/>
    <w:rsid w:val="4385240D"/>
    <w:rsid w:val="44550A94"/>
    <w:rsid w:val="47C766DD"/>
    <w:rsid w:val="47C95157"/>
    <w:rsid w:val="4EF2445D"/>
    <w:rsid w:val="527D773F"/>
    <w:rsid w:val="59BC4880"/>
    <w:rsid w:val="5A1C4051"/>
    <w:rsid w:val="5BD425E9"/>
    <w:rsid w:val="66573312"/>
    <w:rsid w:val="6D5B3414"/>
    <w:rsid w:val="721C1D89"/>
    <w:rsid w:val="7274794F"/>
    <w:rsid w:val="74E7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阳省蔚</cp:lastModifiedBy>
  <dcterms:modified xsi:type="dcterms:W3CDTF">2019-12-11T06:31:36Z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