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bCs/>
          <w:sz w:val="32"/>
          <w:szCs w:val="32"/>
        </w:rPr>
      </w:pPr>
      <w:r>
        <w:rPr>
          <w:rFonts w:hint="eastAsia" w:ascii="黑体" w:hAnsi="黑体" w:eastAsia="黑体"/>
          <w:bCs/>
          <w:sz w:val="32"/>
          <w:szCs w:val="32"/>
        </w:rPr>
        <w:t>附件1</w:t>
      </w:r>
    </w:p>
    <w:p>
      <w:pPr>
        <w:spacing w:after="312" w:afterLines="100" w:line="360" w:lineRule="auto"/>
        <w:jc w:val="center"/>
        <w:rPr>
          <w:rFonts w:ascii="黑体" w:hAnsi="黑体" w:eastAsia="黑体"/>
          <w:bCs/>
          <w:sz w:val="32"/>
          <w:szCs w:val="32"/>
        </w:rPr>
      </w:pPr>
      <w:r>
        <w:rPr>
          <w:rFonts w:hint="eastAsia" w:ascii="黑体" w:hAnsi="黑体" w:eastAsia="黑体"/>
          <w:bCs/>
          <w:sz w:val="32"/>
          <w:szCs w:val="32"/>
        </w:rPr>
        <w:t>2021年度庆祝建党百年专项课题指南</w:t>
      </w:r>
    </w:p>
    <w:p>
      <w:pPr>
        <w:pStyle w:val="13"/>
        <w:numPr>
          <w:ilvl w:val="0"/>
          <w:numId w:val="1"/>
        </w:numPr>
        <w:spacing w:line="360" w:lineRule="auto"/>
        <w:ind w:firstLineChars="0"/>
        <w:rPr>
          <w:rFonts w:eastAsia="仿宋_GB2312"/>
          <w:sz w:val="28"/>
          <w:szCs w:val="28"/>
        </w:rPr>
      </w:pPr>
      <w:r>
        <w:rPr>
          <w:rFonts w:hint="eastAsia" w:eastAsia="仿宋_GB2312"/>
          <w:sz w:val="28"/>
          <w:szCs w:val="28"/>
        </w:rPr>
        <w:t>中国共产党领导现代化建设的历史进程、伟大成就与基本经验</w:t>
      </w:r>
    </w:p>
    <w:p>
      <w:pPr>
        <w:pStyle w:val="13"/>
        <w:numPr>
          <w:ilvl w:val="0"/>
          <w:numId w:val="1"/>
        </w:numPr>
        <w:spacing w:line="360" w:lineRule="auto"/>
        <w:ind w:firstLineChars="0"/>
        <w:rPr>
          <w:rFonts w:eastAsia="仿宋_GB2312"/>
          <w:sz w:val="28"/>
          <w:szCs w:val="28"/>
        </w:rPr>
      </w:pPr>
      <w:r>
        <w:rPr>
          <w:rFonts w:eastAsia="仿宋_GB2312"/>
          <w:sz w:val="28"/>
          <w:szCs w:val="28"/>
        </w:rPr>
        <w:t>中国特色社会主义与中国现代化</w:t>
      </w:r>
    </w:p>
    <w:p>
      <w:pPr>
        <w:spacing w:line="360" w:lineRule="auto"/>
        <w:rPr>
          <w:rFonts w:eastAsia="仿宋_GB2312"/>
          <w:sz w:val="28"/>
          <w:szCs w:val="28"/>
        </w:rPr>
      </w:pPr>
      <w:r>
        <w:rPr>
          <w:rFonts w:eastAsia="仿宋_GB2312"/>
          <w:sz w:val="28"/>
          <w:szCs w:val="28"/>
        </w:rPr>
        <w:t>3.</w:t>
      </w:r>
      <w:r>
        <w:rPr>
          <w:rFonts w:hint="eastAsia" w:eastAsia="仿宋_GB2312"/>
          <w:sz w:val="28"/>
          <w:szCs w:val="28"/>
        </w:rPr>
        <w:t>中国共产党现代化建设道路研究</w:t>
      </w:r>
    </w:p>
    <w:p>
      <w:pPr>
        <w:spacing w:line="360" w:lineRule="auto"/>
        <w:rPr>
          <w:rFonts w:eastAsia="仿宋_GB2312"/>
          <w:sz w:val="28"/>
          <w:szCs w:val="28"/>
        </w:rPr>
      </w:pPr>
      <w:r>
        <w:rPr>
          <w:rFonts w:eastAsia="仿宋_GB2312"/>
          <w:sz w:val="28"/>
          <w:szCs w:val="28"/>
        </w:rPr>
        <w:t>4.</w:t>
      </w:r>
      <w:r>
        <w:rPr>
          <w:rFonts w:hint="eastAsia" w:eastAsia="仿宋_GB2312"/>
          <w:sz w:val="28"/>
          <w:szCs w:val="28"/>
        </w:rPr>
        <w:t>中国共产党与特殊教育发展</w:t>
      </w:r>
    </w:p>
    <w:p>
      <w:pPr>
        <w:spacing w:line="360" w:lineRule="auto"/>
        <w:rPr>
          <w:rFonts w:eastAsia="仿宋_GB2312"/>
          <w:sz w:val="28"/>
          <w:szCs w:val="28"/>
        </w:rPr>
      </w:pPr>
      <w:r>
        <w:rPr>
          <w:rFonts w:eastAsia="仿宋_GB2312"/>
          <w:sz w:val="28"/>
          <w:szCs w:val="28"/>
        </w:rPr>
        <w:t xml:space="preserve">5. </w:t>
      </w:r>
      <w:r>
        <w:rPr>
          <w:rFonts w:hint="eastAsia" w:eastAsia="仿宋_GB2312"/>
          <w:sz w:val="28"/>
          <w:szCs w:val="28"/>
        </w:rPr>
        <w:t>中国共产党思政课建设的历史经验研究</w:t>
      </w:r>
    </w:p>
    <w:p>
      <w:pPr>
        <w:spacing w:line="360" w:lineRule="auto"/>
        <w:rPr>
          <w:rFonts w:eastAsia="仿宋_GB2312"/>
          <w:sz w:val="28"/>
          <w:szCs w:val="28"/>
        </w:rPr>
      </w:pPr>
      <w:r>
        <w:rPr>
          <w:rFonts w:eastAsia="仿宋_GB2312"/>
          <w:sz w:val="28"/>
          <w:szCs w:val="28"/>
        </w:rPr>
        <w:t>6.</w:t>
      </w:r>
      <w:r>
        <w:rPr>
          <w:rFonts w:hint="eastAsia" w:eastAsia="仿宋_GB2312"/>
          <w:sz w:val="28"/>
          <w:szCs w:val="28"/>
        </w:rPr>
        <w:t xml:space="preserve"> 中国共产党成立10</w:t>
      </w:r>
      <w:r>
        <w:rPr>
          <w:rFonts w:eastAsia="仿宋_GB2312"/>
          <w:sz w:val="28"/>
          <w:szCs w:val="28"/>
        </w:rPr>
        <w:t>0</w:t>
      </w:r>
      <w:r>
        <w:rPr>
          <w:rFonts w:hint="eastAsia" w:eastAsia="仿宋_GB2312"/>
          <w:sz w:val="28"/>
          <w:szCs w:val="28"/>
        </w:rPr>
        <w:t>年来思政工作经验研究</w:t>
      </w:r>
    </w:p>
    <w:p>
      <w:pPr>
        <w:spacing w:line="360" w:lineRule="auto"/>
        <w:rPr>
          <w:rFonts w:eastAsia="仿宋_GB2312"/>
          <w:sz w:val="28"/>
          <w:szCs w:val="28"/>
        </w:rPr>
      </w:pPr>
      <w:r>
        <w:rPr>
          <w:rFonts w:eastAsia="仿宋_GB2312"/>
          <w:sz w:val="28"/>
          <w:szCs w:val="28"/>
        </w:rPr>
        <w:t xml:space="preserve">7. </w:t>
      </w:r>
      <w:r>
        <w:rPr>
          <w:rFonts w:hint="eastAsia" w:eastAsia="仿宋_GB2312"/>
          <w:sz w:val="28"/>
          <w:szCs w:val="28"/>
        </w:rPr>
        <w:t>中国共产党百年奋斗史融入大学生思想政治教育研究</w:t>
      </w:r>
    </w:p>
    <w:p>
      <w:pPr>
        <w:spacing w:line="360" w:lineRule="auto"/>
        <w:rPr>
          <w:rFonts w:eastAsia="仿宋_GB2312"/>
          <w:sz w:val="28"/>
          <w:szCs w:val="28"/>
        </w:rPr>
      </w:pPr>
      <w:r>
        <w:rPr>
          <w:rFonts w:hint="eastAsia" w:eastAsia="仿宋_GB2312"/>
          <w:sz w:val="28"/>
          <w:szCs w:val="28"/>
        </w:rPr>
        <w:t>8.中国共产党百年奋斗史</w:t>
      </w:r>
      <w:r>
        <w:rPr>
          <w:rFonts w:eastAsia="仿宋_GB2312"/>
          <w:sz w:val="28"/>
          <w:szCs w:val="28"/>
        </w:rPr>
        <w:t>与高校课程育人研究</w:t>
      </w:r>
    </w:p>
    <w:p>
      <w:pPr>
        <w:spacing w:line="360" w:lineRule="auto"/>
        <w:rPr>
          <w:rFonts w:eastAsia="仿宋_GB2312"/>
          <w:sz w:val="28"/>
          <w:szCs w:val="28"/>
        </w:rPr>
      </w:pPr>
      <w:r>
        <w:rPr>
          <w:rFonts w:hint="eastAsia" w:eastAsia="仿宋_GB2312"/>
          <w:sz w:val="28"/>
          <w:szCs w:val="28"/>
        </w:rPr>
        <w:t>9</w:t>
      </w:r>
      <w:r>
        <w:rPr>
          <w:rFonts w:eastAsia="仿宋_GB2312"/>
          <w:sz w:val="28"/>
          <w:szCs w:val="28"/>
        </w:rPr>
        <w:t xml:space="preserve">. </w:t>
      </w:r>
      <w:r>
        <w:rPr>
          <w:rFonts w:hint="eastAsia" w:eastAsia="仿宋_GB2312"/>
          <w:sz w:val="28"/>
          <w:szCs w:val="28"/>
        </w:rPr>
        <w:t>井冈山精神传承机制研究</w:t>
      </w:r>
    </w:p>
    <w:p>
      <w:pPr>
        <w:spacing w:line="360" w:lineRule="auto"/>
        <w:rPr>
          <w:rFonts w:eastAsia="仿宋_GB2312"/>
          <w:sz w:val="28"/>
          <w:szCs w:val="28"/>
        </w:rPr>
      </w:pPr>
      <w:r>
        <w:rPr>
          <w:rFonts w:hint="eastAsia" w:eastAsia="仿宋_GB2312"/>
          <w:sz w:val="28"/>
          <w:szCs w:val="28"/>
        </w:rPr>
        <w:t>10</w:t>
      </w:r>
      <w:r>
        <w:rPr>
          <w:rFonts w:eastAsia="仿宋_GB2312"/>
          <w:sz w:val="28"/>
          <w:szCs w:val="28"/>
        </w:rPr>
        <w:t>.</w:t>
      </w:r>
      <w:r>
        <w:rPr>
          <w:rFonts w:hint="eastAsia"/>
          <w:color w:val="333333"/>
          <w:shd w:val="clear" w:color="auto" w:fill="FFFFFF"/>
        </w:rPr>
        <w:t xml:space="preserve"> </w:t>
      </w:r>
      <w:r>
        <w:rPr>
          <w:rFonts w:hint="eastAsia" w:eastAsia="仿宋_GB2312"/>
          <w:sz w:val="28"/>
          <w:szCs w:val="28"/>
        </w:rPr>
        <w:t>长征精神传承机制研究</w:t>
      </w:r>
    </w:p>
    <w:p>
      <w:pPr>
        <w:spacing w:line="360" w:lineRule="auto"/>
        <w:rPr>
          <w:rFonts w:eastAsia="仿宋_GB2312"/>
          <w:sz w:val="28"/>
          <w:szCs w:val="28"/>
        </w:rPr>
      </w:pPr>
      <w:r>
        <w:rPr>
          <w:rFonts w:eastAsia="仿宋_GB2312"/>
          <w:sz w:val="28"/>
          <w:szCs w:val="28"/>
        </w:rPr>
        <w:t>1</w:t>
      </w:r>
      <w:r>
        <w:rPr>
          <w:rFonts w:hint="eastAsia" w:eastAsia="仿宋_GB2312"/>
          <w:sz w:val="28"/>
          <w:szCs w:val="28"/>
        </w:rPr>
        <w:t>1</w:t>
      </w:r>
      <w:r>
        <w:rPr>
          <w:rFonts w:eastAsia="仿宋_GB2312"/>
          <w:sz w:val="28"/>
          <w:szCs w:val="28"/>
        </w:rPr>
        <w:t>.</w:t>
      </w:r>
      <w:r>
        <w:rPr>
          <w:rFonts w:hint="eastAsia"/>
          <w:color w:val="333333"/>
          <w:shd w:val="clear" w:color="auto" w:fill="FFFFFF"/>
        </w:rPr>
        <w:t xml:space="preserve"> </w:t>
      </w:r>
      <w:r>
        <w:rPr>
          <w:rFonts w:hint="eastAsia" w:eastAsia="仿宋_GB2312"/>
          <w:sz w:val="28"/>
          <w:szCs w:val="28"/>
        </w:rPr>
        <w:t>抗战精神传承机制研究</w:t>
      </w:r>
    </w:p>
    <w:p>
      <w:pPr>
        <w:spacing w:line="360" w:lineRule="auto"/>
        <w:rPr>
          <w:rFonts w:eastAsia="仿宋_GB2312"/>
          <w:sz w:val="28"/>
          <w:szCs w:val="28"/>
        </w:rPr>
      </w:pPr>
      <w:r>
        <w:rPr>
          <w:rFonts w:eastAsia="仿宋_GB2312"/>
          <w:sz w:val="28"/>
          <w:szCs w:val="28"/>
        </w:rPr>
        <w:t>1</w:t>
      </w:r>
      <w:r>
        <w:rPr>
          <w:rFonts w:hint="eastAsia" w:eastAsia="仿宋_GB2312"/>
          <w:sz w:val="28"/>
          <w:szCs w:val="28"/>
        </w:rPr>
        <w:t>2</w:t>
      </w:r>
      <w:r>
        <w:rPr>
          <w:rFonts w:eastAsia="仿宋_GB2312"/>
          <w:sz w:val="28"/>
          <w:szCs w:val="28"/>
        </w:rPr>
        <w:t>.</w:t>
      </w:r>
      <w:r>
        <w:rPr>
          <w:rFonts w:hint="eastAsia" w:eastAsia="仿宋_GB2312"/>
          <w:sz w:val="28"/>
          <w:szCs w:val="28"/>
        </w:rPr>
        <w:t xml:space="preserve"> 抗美援朝精神传承机制研究</w:t>
      </w:r>
    </w:p>
    <w:p>
      <w:pPr>
        <w:spacing w:line="360" w:lineRule="auto"/>
        <w:rPr>
          <w:rFonts w:eastAsia="仿宋_GB2312"/>
          <w:sz w:val="28"/>
          <w:szCs w:val="28"/>
        </w:rPr>
      </w:pPr>
      <w:r>
        <w:rPr>
          <w:rFonts w:eastAsia="仿宋_GB2312"/>
          <w:sz w:val="28"/>
          <w:szCs w:val="28"/>
        </w:rPr>
        <w:t>1</w:t>
      </w:r>
      <w:r>
        <w:rPr>
          <w:rFonts w:hint="eastAsia" w:eastAsia="仿宋_GB2312"/>
          <w:sz w:val="28"/>
          <w:szCs w:val="28"/>
        </w:rPr>
        <w:t>3</w:t>
      </w:r>
      <w:r>
        <w:rPr>
          <w:rFonts w:eastAsia="仿宋_GB2312"/>
          <w:sz w:val="28"/>
          <w:szCs w:val="28"/>
        </w:rPr>
        <w:t xml:space="preserve">. </w:t>
      </w:r>
      <w:r>
        <w:rPr>
          <w:rFonts w:hint="eastAsia" w:eastAsia="仿宋_GB2312"/>
          <w:sz w:val="28"/>
          <w:szCs w:val="28"/>
        </w:rPr>
        <w:t>抗疫精神传承机制研究</w:t>
      </w:r>
    </w:p>
    <w:p>
      <w:pPr>
        <w:spacing w:line="360" w:lineRule="auto"/>
        <w:rPr>
          <w:rFonts w:eastAsia="仿宋_GB2312"/>
          <w:sz w:val="28"/>
          <w:szCs w:val="28"/>
        </w:rPr>
      </w:pPr>
      <w:r>
        <w:rPr>
          <w:rFonts w:eastAsia="仿宋_GB2312"/>
          <w:sz w:val="28"/>
          <w:szCs w:val="28"/>
        </w:rPr>
        <w:t>14.雨花英烈精神传承机制研究</w:t>
      </w:r>
    </w:p>
    <w:p>
      <w:pPr>
        <w:spacing w:line="360" w:lineRule="auto"/>
        <w:rPr>
          <w:rFonts w:eastAsia="仿宋_GB2312"/>
          <w:sz w:val="28"/>
          <w:szCs w:val="28"/>
        </w:rPr>
      </w:pPr>
      <w:r>
        <w:rPr>
          <w:rFonts w:hint="eastAsia" w:eastAsia="仿宋_GB2312"/>
          <w:sz w:val="28"/>
          <w:szCs w:val="28"/>
        </w:rPr>
        <w:t>15.开展党内教育的经验与启示</w:t>
      </w:r>
    </w:p>
    <w:p>
      <w:pPr>
        <w:spacing w:line="360" w:lineRule="auto"/>
        <w:rPr>
          <w:rFonts w:eastAsia="仿宋_GB2312"/>
          <w:sz w:val="28"/>
          <w:szCs w:val="28"/>
        </w:rPr>
      </w:pPr>
      <w:r>
        <w:rPr>
          <w:rFonts w:hint="eastAsia" w:eastAsia="仿宋_GB2312"/>
          <w:sz w:val="28"/>
          <w:szCs w:val="28"/>
        </w:rPr>
        <w:t>16.中国共产党革命精神与“四史”教育有机整合研究</w:t>
      </w:r>
    </w:p>
    <w:p>
      <w:pPr>
        <w:spacing w:line="360" w:lineRule="auto"/>
        <w:rPr>
          <w:rFonts w:eastAsia="仿宋_GB2312"/>
          <w:sz w:val="28"/>
          <w:szCs w:val="28"/>
        </w:rPr>
      </w:pPr>
      <w:r>
        <w:rPr>
          <w:rFonts w:hint="eastAsia" w:eastAsia="仿宋_GB2312"/>
          <w:sz w:val="28"/>
          <w:szCs w:val="28"/>
        </w:rPr>
        <w:t>17.习近平总书记关于思想政治理论课建设重要论述研究</w:t>
      </w:r>
    </w:p>
    <w:p>
      <w:pPr>
        <w:spacing w:line="360" w:lineRule="auto"/>
        <w:rPr>
          <w:rFonts w:eastAsia="仿宋_GB2312"/>
          <w:sz w:val="28"/>
          <w:szCs w:val="28"/>
        </w:rPr>
      </w:pPr>
      <w:r>
        <w:rPr>
          <w:rFonts w:hint="eastAsia" w:eastAsia="仿宋_GB2312"/>
          <w:sz w:val="28"/>
          <w:szCs w:val="28"/>
        </w:rPr>
        <w:t>18. 深入推进习近平新时代中国特色社会主义思想进教材进课堂进头脑研究</w:t>
      </w:r>
    </w:p>
    <w:p>
      <w:pPr>
        <w:spacing w:line="360" w:lineRule="auto"/>
        <w:rPr>
          <w:rFonts w:eastAsia="仿宋_GB2312"/>
          <w:sz w:val="28"/>
          <w:szCs w:val="28"/>
        </w:rPr>
      </w:pPr>
      <w:r>
        <w:rPr>
          <w:rFonts w:hint="eastAsia" w:eastAsia="仿宋_GB2312"/>
          <w:sz w:val="28"/>
          <w:szCs w:val="28"/>
        </w:rPr>
        <w:t>19.中国共产党百年历史与高校“大思政”课程建设研究</w:t>
      </w:r>
    </w:p>
    <w:p>
      <w:pPr>
        <w:spacing w:line="360" w:lineRule="auto"/>
        <w:rPr>
          <w:rFonts w:eastAsia="仿宋_GB2312"/>
          <w:sz w:val="28"/>
          <w:szCs w:val="28"/>
        </w:rPr>
      </w:pPr>
      <w:r>
        <w:rPr>
          <w:rFonts w:hint="eastAsia" w:eastAsia="仿宋_GB2312"/>
          <w:sz w:val="28"/>
          <w:szCs w:val="28"/>
        </w:rPr>
        <w:t>20. 南京特殊教育师范学院党建经验、案例与特色研究</w:t>
      </w:r>
    </w:p>
    <w:p>
      <w:pPr>
        <w:spacing w:line="360" w:lineRule="auto"/>
        <w:rPr>
          <w:rFonts w:eastAsia="仿宋_GB2312"/>
          <w:sz w:val="28"/>
          <w:szCs w:val="28"/>
        </w:rPr>
      </w:pPr>
      <w:r>
        <w:rPr>
          <w:rFonts w:hint="eastAsia" w:eastAsia="仿宋_GB2312"/>
          <w:sz w:val="28"/>
          <w:szCs w:val="28"/>
        </w:rPr>
        <w:t>21. 新时代高校“四史”教育教学体系及其实践探索研究</w:t>
      </w:r>
    </w:p>
    <w:p>
      <w:pPr>
        <w:spacing w:line="360" w:lineRule="auto"/>
        <w:rPr>
          <w:rFonts w:eastAsia="仿宋_GB2312"/>
          <w:sz w:val="28"/>
          <w:szCs w:val="28"/>
        </w:rPr>
      </w:pPr>
      <w:r>
        <w:rPr>
          <w:rFonts w:hint="eastAsia" w:eastAsia="仿宋_GB2312"/>
          <w:sz w:val="28"/>
          <w:szCs w:val="28"/>
        </w:rPr>
        <w:t>22. “四史”融入高校思想政治理论课案例库建设研究</w:t>
      </w:r>
    </w:p>
    <w:p>
      <w:pPr>
        <w:spacing w:line="360" w:lineRule="auto"/>
        <w:rPr>
          <w:rFonts w:eastAsia="仿宋_GB2312"/>
          <w:sz w:val="28"/>
          <w:szCs w:val="28"/>
        </w:rPr>
      </w:pPr>
      <w:r>
        <w:rPr>
          <w:rFonts w:hint="eastAsia" w:eastAsia="仿宋_GB2312"/>
          <w:sz w:val="28"/>
          <w:szCs w:val="28"/>
        </w:rPr>
        <w:t>23. 江苏红色文化资源与高校思想政治教育联动机制研究</w:t>
      </w:r>
    </w:p>
    <w:p>
      <w:pPr>
        <w:spacing w:line="360" w:lineRule="auto"/>
        <w:rPr>
          <w:rFonts w:eastAsia="仿宋_GB2312"/>
          <w:sz w:val="28"/>
          <w:szCs w:val="28"/>
        </w:rPr>
      </w:pPr>
      <w:r>
        <w:rPr>
          <w:rFonts w:hint="eastAsia" w:eastAsia="仿宋_GB2312"/>
          <w:sz w:val="28"/>
          <w:szCs w:val="28"/>
        </w:rPr>
        <w:t>24. 新时代高校“青年马克思主义者培养工程”实践研究</w:t>
      </w:r>
    </w:p>
    <w:p>
      <w:pPr>
        <w:spacing w:line="360" w:lineRule="auto"/>
        <w:rPr>
          <w:rFonts w:eastAsia="仿宋_GB2312"/>
          <w:sz w:val="28"/>
          <w:szCs w:val="28"/>
        </w:rPr>
      </w:pPr>
      <w:r>
        <w:rPr>
          <w:rFonts w:eastAsia="仿宋_GB2312"/>
          <w:sz w:val="28"/>
          <w:szCs w:val="28"/>
        </w:rPr>
        <w:t>25.</w:t>
      </w:r>
      <w:r>
        <w:rPr>
          <w:rFonts w:hint="eastAsia" w:eastAsia="仿宋_GB2312"/>
          <w:sz w:val="28"/>
          <w:szCs w:val="28"/>
        </w:rPr>
        <w:t>其他与庆祝建党百年相关的选题</w:t>
      </w:r>
    </w:p>
    <w:p>
      <w:pPr>
        <w:spacing w:line="360" w:lineRule="auto"/>
        <w:rPr>
          <w:rFonts w:eastAsia="仿宋_GB2312"/>
          <w:sz w:val="28"/>
          <w:szCs w:val="28"/>
        </w:rPr>
      </w:pPr>
    </w:p>
    <w:p>
      <w:pPr>
        <w:spacing w:line="360" w:lineRule="auto"/>
        <w:rPr>
          <w:rFonts w:eastAsia="仿宋_GB2312"/>
          <w:sz w:val="28"/>
          <w:szCs w:val="28"/>
        </w:rPr>
      </w:pPr>
    </w:p>
    <w:p>
      <w:pPr>
        <w:spacing w:line="360" w:lineRule="auto"/>
        <w:rPr>
          <w:rFonts w:ascii="黑体" w:hAnsi="黑体" w:eastAsia="黑体"/>
          <w:bCs/>
          <w:sz w:val="32"/>
          <w:szCs w:val="32"/>
        </w:rPr>
      </w:pPr>
    </w:p>
    <w:p>
      <w:pPr>
        <w:spacing w:line="360" w:lineRule="auto"/>
        <w:rPr>
          <w:rFonts w:ascii="黑体" w:hAnsi="黑体" w:eastAsia="黑体"/>
          <w:bCs/>
          <w:sz w:val="32"/>
          <w:szCs w:val="32"/>
        </w:rPr>
      </w:pPr>
    </w:p>
    <w:p>
      <w:pPr>
        <w:spacing w:line="360" w:lineRule="auto"/>
        <w:rPr>
          <w:rFonts w:ascii="黑体" w:hAnsi="黑体" w:eastAsia="黑体"/>
          <w:bCs/>
          <w:sz w:val="32"/>
          <w:szCs w:val="32"/>
        </w:rPr>
      </w:pPr>
    </w:p>
    <w:p>
      <w:pPr>
        <w:spacing w:line="360" w:lineRule="auto"/>
        <w:rPr>
          <w:rFonts w:ascii="黑体" w:hAnsi="黑体" w:eastAsia="黑体"/>
          <w:bCs/>
          <w:sz w:val="32"/>
          <w:szCs w:val="32"/>
        </w:rPr>
      </w:pPr>
    </w:p>
    <w:p>
      <w:pPr>
        <w:spacing w:line="360" w:lineRule="auto"/>
        <w:rPr>
          <w:rFonts w:ascii="黑体" w:hAnsi="黑体" w:eastAsia="黑体"/>
          <w:bCs/>
          <w:sz w:val="32"/>
          <w:szCs w:val="32"/>
        </w:rPr>
      </w:pPr>
    </w:p>
    <w:p>
      <w:pPr>
        <w:spacing w:line="360" w:lineRule="auto"/>
        <w:rPr>
          <w:rFonts w:ascii="黑体" w:hAnsi="黑体" w:eastAsia="黑体"/>
          <w:bCs/>
          <w:sz w:val="32"/>
          <w:szCs w:val="32"/>
        </w:rPr>
      </w:pPr>
    </w:p>
    <w:p>
      <w:pPr>
        <w:spacing w:line="360" w:lineRule="auto"/>
        <w:rPr>
          <w:rFonts w:ascii="黑体" w:hAnsi="黑体" w:eastAsia="黑体"/>
          <w:bCs/>
          <w:sz w:val="32"/>
          <w:szCs w:val="32"/>
        </w:rPr>
      </w:pPr>
    </w:p>
    <w:p>
      <w:pPr>
        <w:spacing w:line="360" w:lineRule="auto"/>
        <w:rPr>
          <w:rFonts w:ascii="黑体" w:hAnsi="黑体" w:eastAsia="黑体"/>
          <w:bCs/>
          <w:sz w:val="32"/>
          <w:szCs w:val="32"/>
        </w:rPr>
      </w:pPr>
    </w:p>
    <w:p>
      <w:pPr>
        <w:spacing w:line="360" w:lineRule="auto"/>
        <w:rPr>
          <w:rFonts w:ascii="黑体" w:hAnsi="黑体" w:eastAsia="黑体"/>
          <w:bCs/>
          <w:sz w:val="32"/>
          <w:szCs w:val="32"/>
        </w:rPr>
      </w:pPr>
    </w:p>
    <w:p>
      <w:pPr>
        <w:spacing w:line="360" w:lineRule="auto"/>
        <w:rPr>
          <w:rFonts w:ascii="黑体" w:hAnsi="黑体" w:eastAsia="黑体"/>
          <w:bCs/>
          <w:sz w:val="32"/>
          <w:szCs w:val="32"/>
        </w:rPr>
      </w:pPr>
    </w:p>
    <w:p>
      <w:pPr>
        <w:spacing w:line="360" w:lineRule="auto"/>
        <w:rPr>
          <w:rFonts w:ascii="黑体" w:hAnsi="黑体" w:eastAsia="黑体"/>
          <w:bCs/>
          <w:sz w:val="32"/>
          <w:szCs w:val="32"/>
        </w:rPr>
      </w:pPr>
    </w:p>
    <w:p>
      <w:pPr>
        <w:spacing w:line="360" w:lineRule="auto"/>
        <w:rPr>
          <w:rFonts w:ascii="黑体" w:hAnsi="黑体" w:eastAsia="黑体"/>
          <w:bCs/>
          <w:sz w:val="32"/>
          <w:szCs w:val="32"/>
        </w:rPr>
      </w:pPr>
    </w:p>
    <w:p>
      <w:pPr>
        <w:spacing w:line="360" w:lineRule="auto"/>
        <w:rPr>
          <w:rFonts w:ascii="黑体" w:hAnsi="黑体" w:eastAsia="黑体"/>
          <w:bCs/>
          <w:sz w:val="32"/>
          <w:szCs w:val="32"/>
        </w:rPr>
      </w:pPr>
    </w:p>
    <w:p>
      <w:pPr>
        <w:spacing w:line="360" w:lineRule="auto"/>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03163B"/>
    <w:multiLevelType w:val="multilevel"/>
    <w:tmpl w:val="7603163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5C2"/>
    <w:rsid w:val="0001461B"/>
    <w:rsid w:val="00023DD5"/>
    <w:rsid w:val="00051A5C"/>
    <w:rsid w:val="000C05C2"/>
    <w:rsid w:val="00112521"/>
    <w:rsid w:val="001802D1"/>
    <w:rsid w:val="001E171F"/>
    <w:rsid w:val="001F3ABB"/>
    <w:rsid w:val="0022765F"/>
    <w:rsid w:val="00260A97"/>
    <w:rsid w:val="003076D1"/>
    <w:rsid w:val="0038578C"/>
    <w:rsid w:val="0039515D"/>
    <w:rsid w:val="0040031A"/>
    <w:rsid w:val="00464095"/>
    <w:rsid w:val="004E15D3"/>
    <w:rsid w:val="00650BE4"/>
    <w:rsid w:val="00690FB0"/>
    <w:rsid w:val="006A151A"/>
    <w:rsid w:val="006A4EFD"/>
    <w:rsid w:val="007674FA"/>
    <w:rsid w:val="008412DC"/>
    <w:rsid w:val="0084343E"/>
    <w:rsid w:val="00855AED"/>
    <w:rsid w:val="008F16AE"/>
    <w:rsid w:val="009A431C"/>
    <w:rsid w:val="00A16984"/>
    <w:rsid w:val="00A43321"/>
    <w:rsid w:val="00B1640B"/>
    <w:rsid w:val="00B2712A"/>
    <w:rsid w:val="00B5441C"/>
    <w:rsid w:val="00B553C5"/>
    <w:rsid w:val="00C06F85"/>
    <w:rsid w:val="00C532A7"/>
    <w:rsid w:val="00C974B1"/>
    <w:rsid w:val="00CD2000"/>
    <w:rsid w:val="00D1551E"/>
    <w:rsid w:val="00D779CD"/>
    <w:rsid w:val="00DB1956"/>
    <w:rsid w:val="00DB2524"/>
    <w:rsid w:val="00DE1A7C"/>
    <w:rsid w:val="00E1161D"/>
    <w:rsid w:val="00E21D47"/>
    <w:rsid w:val="00E77DAE"/>
    <w:rsid w:val="00E82C9A"/>
    <w:rsid w:val="00EC2ADB"/>
    <w:rsid w:val="00F86F61"/>
    <w:rsid w:val="00F91242"/>
    <w:rsid w:val="037778E5"/>
    <w:rsid w:val="142E3DFB"/>
    <w:rsid w:val="2D0021E4"/>
    <w:rsid w:val="354C318D"/>
    <w:rsid w:val="3FC77881"/>
    <w:rsid w:val="40FF5817"/>
    <w:rsid w:val="4D501F2F"/>
    <w:rsid w:val="6EDE3E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semiHidden/>
    <w:unhideWhenUsed/>
    <w:uiPriority w:val="99"/>
    <w:pPr>
      <w:jc w:val="left"/>
    </w:pPr>
  </w:style>
  <w:style w:type="paragraph" w:styleId="3">
    <w:name w:val="Plain Text"/>
    <w:basedOn w:val="1"/>
    <w:link w:val="12"/>
    <w:semiHidden/>
    <w:unhideWhenUsed/>
    <w:uiPriority w:val="0"/>
    <w:rPr>
      <w:rFonts w:ascii="宋体" w:hAnsi="Courier New" w:cs="Courier New"/>
      <w:szCs w:val="21"/>
    </w:rPr>
  </w:style>
  <w:style w:type="paragraph" w:styleId="4">
    <w:name w:val="Balloon Text"/>
    <w:basedOn w:val="1"/>
    <w:link w:val="18"/>
    <w:semiHidden/>
    <w:unhideWhenUsed/>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7"/>
    <w:semiHidden/>
    <w:unhideWhenUsed/>
    <w:qFormat/>
    <w:uiPriority w:val="99"/>
    <w:rPr>
      <w:b/>
      <w:bCs/>
    </w:rPr>
  </w:style>
  <w:style w:type="character" w:styleId="10">
    <w:name w:val="Hyperlink"/>
    <w:basedOn w:val="9"/>
    <w:unhideWhenUsed/>
    <w:qFormat/>
    <w:uiPriority w:val="99"/>
    <w:rPr>
      <w:color w:val="0000FF" w:themeColor="hyperlink"/>
      <w:u w:val="single"/>
      <w14:textFill>
        <w14:solidFill>
          <w14:schemeClr w14:val="hlink"/>
        </w14:solidFill>
      </w14:textFill>
    </w:rPr>
  </w:style>
  <w:style w:type="character" w:styleId="11">
    <w:name w:val="annotation reference"/>
    <w:basedOn w:val="9"/>
    <w:semiHidden/>
    <w:unhideWhenUsed/>
    <w:uiPriority w:val="99"/>
    <w:rPr>
      <w:sz w:val="21"/>
      <w:szCs w:val="21"/>
    </w:rPr>
  </w:style>
  <w:style w:type="character" w:customStyle="1" w:styleId="12">
    <w:name w:val="纯文本 Char"/>
    <w:basedOn w:val="9"/>
    <w:link w:val="3"/>
    <w:semiHidden/>
    <w:qFormat/>
    <w:uiPriority w:val="0"/>
    <w:rPr>
      <w:rFonts w:ascii="宋体" w:hAnsi="Courier New" w:eastAsia="宋体" w:cs="Courier New"/>
      <w:szCs w:val="21"/>
    </w:rPr>
  </w:style>
  <w:style w:type="paragraph" w:styleId="13">
    <w:name w:val="List Paragraph"/>
    <w:basedOn w:val="1"/>
    <w:qFormat/>
    <w:uiPriority w:val="34"/>
    <w:pPr>
      <w:ind w:firstLine="420" w:firstLineChars="200"/>
    </w:pPr>
  </w:style>
  <w:style w:type="character" w:customStyle="1" w:styleId="14">
    <w:name w:val="页眉 Char"/>
    <w:basedOn w:val="9"/>
    <w:link w:val="6"/>
    <w:qFormat/>
    <w:uiPriority w:val="99"/>
    <w:rPr>
      <w:rFonts w:ascii="Times New Roman" w:hAnsi="Times New Roman" w:eastAsia="宋体" w:cs="Times New Roman"/>
      <w:sz w:val="18"/>
      <w:szCs w:val="18"/>
    </w:rPr>
  </w:style>
  <w:style w:type="character" w:customStyle="1" w:styleId="15">
    <w:name w:val="页脚 Char"/>
    <w:basedOn w:val="9"/>
    <w:link w:val="5"/>
    <w:qFormat/>
    <w:uiPriority w:val="99"/>
    <w:rPr>
      <w:rFonts w:ascii="Times New Roman" w:hAnsi="Times New Roman" w:eastAsia="宋体" w:cs="Times New Roman"/>
      <w:sz w:val="18"/>
      <w:szCs w:val="18"/>
    </w:rPr>
  </w:style>
  <w:style w:type="character" w:customStyle="1" w:styleId="16">
    <w:name w:val="批注文字 Char"/>
    <w:basedOn w:val="9"/>
    <w:link w:val="2"/>
    <w:semiHidden/>
    <w:uiPriority w:val="99"/>
    <w:rPr>
      <w:rFonts w:ascii="Times New Roman" w:hAnsi="Times New Roman" w:eastAsia="宋体" w:cs="Times New Roman"/>
    </w:rPr>
  </w:style>
  <w:style w:type="character" w:customStyle="1" w:styleId="17">
    <w:name w:val="批注主题 Char"/>
    <w:basedOn w:val="16"/>
    <w:link w:val="7"/>
    <w:semiHidden/>
    <w:uiPriority w:val="99"/>
    <w:rPr>
      <w:rFonts w:ascii="Times New Roman" w:hAnsi="Times New Roman" w:eastAsia="宋体" w:cs="Times New Roman"/>
      <w:b/>
      <w:bCs/>
    </w:rPr>
  </w:style>
  <w:style w:type="character" w:customStyle="1" w:styleId="18">
    <w:name w:val="批注框文本 Char"/>
    <w:basedOn w:val="9"/>
    <w:link w:val="4"/>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509</Words>
  <Characters>2907</Characters>
  <Lines>24</Lines>
  <Paragraphs>6</Paragraphs>
  <TotalTime>11</TotalTime>
  <ScaleCrop>false</ScaleCrop>
  <LinksUpToDate>false</LinksUpToDate>
  <CharactersWithSpaces>3410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2021-04-20T05:00:00Z</dcterms:created>
  <dc:creator>联想</dc:creator>
  <cp:lastModifiedBy>阳省蔚</cp:lastModifiedBy>
  <dcterms:modified xsi:type="dcterms:W3CDTF">2021-05-07T02:27:22Z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CE45EFA766734A31BC59E98CCE7AA6F5</vt:lpwstr>
  </property>
</Properties>
</file>