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附：目前暂定的推荐申报出版机构名单（63家）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山东人民出版社、湖北人民出版社、广东人民出版社、四川人民出版社、陕西人民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9A0843"/>
    <w:rsid w:val="00057ED2"/>
    <w:rsid w:val="009A0843"/>
    <w:rsid w:val="00AC5023"/>
    <w:rsid w:val="00B00664"/>
    <w:rsid w:val="00D32FAE"/>
    <w:rsid w:val="6BB65056"/>
    <w:rsid w:val="7949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527</Words>
  <Characters>528</Characters>
  <Lines>3</Lines>
  <Paragraphs>1</Paragraphs>
  <TotalTime>0</TotalTime>
  <ScaleCrop>false</ScaleCrop>
  <LinksUpToDate>false</LinksUpToDate>
  <CharactersWithSpaces>528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2020-04-30T10:10:00Z</dcterms:created>
  <dc:creator>China</dc:creator>
  <cp:lastModifiedBy>阳省蔚</cp:lastModifiedBy>
  <dcterms:modified xsi:type="dcterms:W3CDTF">2022-04-26T06:27:14Z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C3570C1CDA5C4595B0F2CFB93A6701FC</vt:lpwstr>
  </property>
</Properties>
</file>